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Political</w:t>
      </w:r>
      <w:r>
        <w:t xml:space="preserve"> </w:t>
      </w:r>
      <w:r>
        <w:t xml:space="preserve">Campaign</w:t>
      </w:r>
      <w:r>
        <w:t xml:space="preserve"> </w:t>
      </w:r>
      <w:r>
        <w:t xml:space="preserve">Sales</w:t>
      </w:r>
      <w:r>
        <w:t xml:space="preserve"> </w:t>
      </w:r>
      <w:r>
        <w:t xml:space="preserve">Performance</w:t>
      </w:r>
      <w:r>
        <w:t xml:space="preserve"> </w:t>
      </w:r>
      <w:r>
        <w:t xml:space="preserve">Report</w:t>
      </w:r>
    </w:p>
    <w:bookmarkStart w:id="28" w:name="X830d6e423eda3bb0bfe5ac3f77132b8346bb7c4"/>
    <w:p>
      <w:pPr>
        <w:pStyle w:val="Heading1"/>
      </w:pPr>
      <w:r>
        <w:t xml:space="preserve">Beijing Political Campaign Sales Performance Report: Strategic Analysis and Market Outlook</w:t>
      </w:r>
    </w:p>
    <w:bookmarkStart w:id="20" w:name="executive-summary"/>
    <w:p>
      <w:pPr>
        <w:pStyle w:val="Heading2"/>
      </w:pPr>
      <w:r>
        <w:t xml:space="preserve">Executive Summary</w:t>
      </w:r>
    </w:p>
    <w:p>
      <w:pPr>
        <w:pStyle w:val="FirstParagraph"/>
      </w:pPr>
      <w:r>
        <w:t xml:space="preserve">This comprehensive Sales Report details the strategic performance metrics of Politician Zhang Wei, a prominent candidate in the 2024 Beijing District People's Congress election. As China's capital continues its trajectory as a global economic and political hub, this report analyzes how the Politician's policy platform achieved unprecedented market penetration within Beijing's urban governance landscape. The campaign exceeded all pre-election projections by securing 68% public support in key districts—a 22-point increase from the previous electoral cycle—validating our integrated sales strategy focused on community engagement and digital outreach.</w:t>
      </w:r>
    </w:p>
    <w:bookmarkEnd w:id="20"/>
    <w:bookmarkStart w:id="21" w:name="X1806a650bf598542c4a28dc4c9442247177320c"/>
    <w:p>
      <w:pPr>
        <w:pStyle w:val="Heading2"/>
      </w:pPr>
      <w:r>
        <w:t xml:space="preserve">Market Context: China Beijing Political Landscape</w:t>
      </w:r>
    </w:p>
    <w:p>
      <w:pPr>
        <w:pStyle w:val="FirstParagraph"/>
      </w:pPr>
      <w:r>
        <w:t xml:space="preserve">Beijing represents China's premier political and economic ecosystem, housing over 40% of the nation's central government institutions. The 2024 election cycle occurred within the strategic framework of China's 14th Five-Year Plan (2021-2025), emphasizing high-quality urban development, technological innovation, and community welfare. This Sales Report identifies Beijing as a premium market segment where political "sales" directly correlate with national policy implementation—making it essential for any Politician to demonstrate tangible governance outcomes. The local electorate prioritizes three critical success factors: economic revitalization (42% voter emphasis), environmental sustainability (35%), and public service modernization (23%).</w:t>
      </w:r>
    </w:p>
    <w:bookmarkEnd w:id="21"/>
    <w:bookmarkStart w:id="22" w:name="X0534fadf0f2daa7dc97389abc50083ca7713ddc"/>
    <w:p>
      <w:pPr>
        <w:pStyle w:val="Heading2"/>
      </w:pPr>
      <w:r>
        <w:t xml:space="preserve">Strategic Sales Approach: Policy as Product</w:t>
      </w:r>
    </w:p>
    <w:p>
      <w:pPr>
        <w:pStyle w:val="FirstParagraph"/>
      </w:pPr>
      <w:r>
        <w:t xml:space="preserve">Rather than traditional campaign tactics, Politician Zhang Wei's team deployed a sophisticated sales framework positioning governance initiatives as premium products. The core "product line" included:</w:t>
      </w:r>
    </w:p>
    <w:p>
      <w:pPr>
        <w:numPr>
          <w:ilvl w:val="0"/>
          <w:numId w:val="1001"/>
        </w:numPr>
        <w:pStyle w:val="Compact"/>
      </w:pPr>
      <w:r>
        <w:rPr>
          <w:bCs/>
          <w:b/>
        </w:rPr>
        <w:t xml:space="preserve">"Beijing Green Horizon"</w:t>
      </w:r>
      <w:r>
        <w:t xml:space="preserve"> </w:t>
      </w:r>
      <w:r>
        <w:t xml:space="preserve">(Urban Environmental Package): A $1.2 billion initiative for district-level clean energy infrastructure</w:t>
      </w:r>
    </w:p>
    <w:p>
      <w:pPr>
        <w:numPr>
          <w:ilvl w:val="0"/>
          <w:numId w:val="1001"/>
        </w:numPr>
        <w:pStyle w:val="Compact"/>
      </w:pPr>
      <w:r>
        <w:rPr>
          <w:bCs/>
          <w:b/>
        </w:rPr>
        <w:t xml:space="preserve">"Smart District 360"</w:t>
      </w:r>
      <w:r>
        <w:t xml:space="preserve"> </w:t>
      </w:r>
      <w:r>
        <w:t xml:space="preserve">(Digital Governance Platform): AI-driven public service access via WeChat Mini Programs</w:t>
      </w:r>
    </w:p>
    <w:p>
      <w:pPr>
        <w:numPr>
          <w:ilvl w:val="0"/>
          <w:numId w:val="1001"/>
        </w:numPr>
        <w:pStyle w:val="Compact"/>
      </w:pPr>
      <w:r>
        <w:rPr>
          <w:bCs/>
          <w:b/>
        </w:rPr>
        <w:t xml:space="preserve">"Community Catalyst Fund"</w:t>
      </w:r>
      <w:r>
        <w:t xml:space="preserve"> </w:t>
      </w:r>
      <w:r>
        <w:t xml:space="preserve">(Grassroots Investment Program): $50 million for neighborhood innovation projects</w:t>
      </w:r>
    </w:p>
    <w:p>
      <w:pPr>
        <w:pStyle w:val="FirstParagraph"/>
      </w:pPr>
      <w:r>
        <w:t xml:space="preserve">This approach transformed political messaging into measurable sales outcomes. The campaign utilized Beijing's digital ecosystem—leveraging WeChat (98% adoption rate) and Douyin (TikTok) to showcase policy "demo units" in 12 districts. For example, the Smart District 360 platform generated 470,000 user engagements within two months, directly converting interest into voter support through transparent progress tracking.</w:t>
      </w:r>
    </w:p>
    <w:bookmarkEnd w:id="22"/>
    <w:bookmarkStart w:id="23" w:name="sales-performance-metrics-beijing-market"/>
    <w:p>
      <w:pPr>
        <w:pStyle w:val="Heading2"/>
      </w:pPr>
      <w:r>
        <w:t xml:space="preserve">Sales Performance Metrics (Beijing Market)</w:t>
      </w:r>
    </w:p>
    <w:p>
      <w:pPr>
        <w:pStyle w:val="FirstParagraph"/>
      </w:pPr>
      <w:r>
        <w:t xml:space="preserve">Our sales analytics reveal exceptional penetration across Beijing's diverse demographic segments:</w:t>
      </w:r>
    </w:p>
    <w:p>
      <w:pPr>
        <w:pStyle w:val="BodyText"/>
      </w:pPr>
      <w:r>
        <w:t xml:space="preserve">Market Segment</w:t>
      </w:r>
    </w:p>
    <w:p>
      <w:pPr>
        <w:pStyle w:val="BodyText"/>
      </w:pPr>
      <w:r>
        <w:t xml:space="preserve">Lead Generation (Campaign)</w:t>
      </w:r>
    </w:p>
    <w:p>
      <w:pPr>
        <w:pStyle w:val="BodyText"/>
      </w:pPr>
      <w:r>
        <w:t xml:space="preserve">Sales Conversion Rate</w:t>
      </w:r>
    </w:p>
    <w:p>
      <w:pPr>
        <w:pStyle w:val="BodyText"/>
      </w:pPr>
      <w:r>
        <w:t xml:space="preserve">Achieved Outcome</w:t>
      </w:r>
    </w:p>
    <w:p>
      <w:pPr>
        <w:pStyle w:val="BodyText"/>
      </w:pPr>
      <w:r>
        <w:t xml:space="preserve">Urban Professionals (25-40 yrs)</w:t>
      </w:r>
    </w:p>
    <w:p>
      <w:pPr>
        <w:pStyle w:val="BodyText"/>
      </w:pPr>
      <w:r>
        <w:t xml:space="preserve">187,000</w:t>
      </w:r>
    </w:p>
    <w:p>
      <w:pPr>
        <w:pStyle w:val="BodyText"/>
      </w:pPr>
      <w:r>
        <w:t xml:space="preserve">72%</w:t>
      </w:r>
    </w:p>
    <w:p>
      <w:pPr>
        <w:pStyle w:val="BodyText"/>
      </w:pPr>
      <w:r>
        <w:t xml:space="preserve">Rise from 31% to 63% support in Xicheng District</w:t>
      </w:r>
    </w:p>
    <w:p>
      <w:pPr>
        <w:pStyle w:val="BodyText"/>
      </w:pPr>
      <w:r>
        <w:t xml:space="preserve">Senior Citizens (65+ yrs)</w:t>
      </w:r>
    </w:p>
    <w:p>
      <w:pPr>
        <w:pStyle w:val="BodyText"/>
      </w:pPr>
      <w:r>
        <w:t xml:space="preserve">Community Centers (Beijing-wide)</w:t>
      </w:r>
    </w:p>
    <w:p>
      <w:pPr>
        <w:pStyle w:val="BodyText"/>
      </w:pPr>
      <w:r>
        <w:t xml:space="preserve">48,000</w:t>
      </w:r>
    </w:p>
    <w:p>
      <w:pPr>
        <w:pStyle w:val="BodyText"/>
      </w:pPr>
      <w:r>
        <w:t xml:space="preserve">89%</w:t>
      </w:r>
    </w:p>
    <w:p>
      <w:pPr>
        <w:pStyle w:val="BodyText"/>
      </w:pPr>
      <w:r>
        <w:t xml:space="preserve">Demonstrated 93% policy comprehension via local workshops</w:t>
      </w:r>
    </w:p>
    <w:p>
      <w:pPr>
        <w:pStyle w:val="BodyText"/>
      </w:pPr>
      <w:r>
        <w:t xml:space="preserve">Migrant Worker Communities</w:t>
      </w:r>
    </w:p>
    <w:p>
      <w:pPr>
        <w:pStyle w:val="BodyText"/>
      </w:pPr>
      <w:r>
        <w:t xml:space="preserve">112,000 (via WeChat Work Groups)</w:t>
      </w:r>
    </w:p>
    <w:p>
      <w:pPr>
        <w:pStyle w:val="BodyText"/>
      </w:pPr>
      <w:r>
        <w:t xml:space="preserve">67%</w:t>
      </w:r>
    </w:p>
    <w:p>
      <w:pPr>
        <w:pStyle w:val="BodyText"/>
      </w:pPr>
      <w:r>
        <w:t xml:space="preserve">Signed petition for "Equal Service Access" initiative</w:t>
      </w:r>
    </w:p>
    <w:p>
      <w:pPr>
        <w:pStyle w:val="BodyText"/>
      </w:pPr>
      <w:r>
        <w:t xml:space="preserve">The campaign achieved a 34% higher conversion rate than national averages by focusing on Beijing's unique governance challenges—such as managing the 21.5 million resident population within constrained urban geography. Notably, the Green Horizon package drove a 41% increase in voter registration among environmentally conscious districts like Haidian and Chaoyang.</w:t>
      </w:r>
    </w:p>
    <w:bookmarkEnd w:id="23"/>
    <w:bookmarkStart w:id="24" w:name="Xe3711a2e06293d7cfaef1ef705f069b7911ad17"/>
    <w:p>
      <w:pPr>
        <w:pStyle w:val="Heading2"/>
      </w:pPr>
      <w:r>
        <w:t xml:space="preserve">Competitive Differentiation: Why Beijing Voted for This Politician</w:t>
      </w:r>
    </w:p>
    <w:p>
      <w:pPr>
        <w:pStyle w:val="FirstParagraph"/>
      </w:pPr>
      <w:r>
        <w:t xml:space="preserve">This Sales Report identifies three key differentiators that closed the deal with Beijing voters:</w:t>
      </w:r>
    </w:p>
    <w:p>
      <w:pPr>
        <w:numPr>
          <w:ilvl w:val="0"/>
          <w:numId w:val="1002"/>
        </w:numPr>
        <w:pStyle w:val="Compact"/>
      </w:pPr>
      <w:r>
        <w:rPr>
          <w:bCs/>
          <w:b/>
        </w:rPr>
        <w:t xml:space="preserve">Hyper-Local Market Intelligence:</w:t>
      </w:r>
      <w:r>
        <w:t xml:space="preserve"> </w:t>
      </w:r>
      <w:r>
        <w:t xml:space="preserve">Customized sales pitches for each of Beijing's 16 districts using local data (e.g., prioritizing industrial park revitalization in Shunyi vs. cultural preservation in Dongcheng)</w:t>
      </w:r>
    </w:p>
    <w:p>
      <w:pPr>
        <w:numPr>
          <w:ilvl w:val="0"/>
          <w:numId w:val="1002"/>
        </w:numPr>
        <w:pStyle w:val="Compact"/>
      </w:pPr>
      <w:r>
        <w:rPr>
          <w:bCs/>
          <w:b/>
        </w:rPr>
        <w:t xml:space="preserve">National Policy Synergy:</w:t>
      </w:r>
      <w:r>
        <w:t xml:space="preserve"> </w:t>
      </w:r>
      <w:r>
        <w:t xml:space="preserve">Explicit alignment with China's "Common Prosperity" agenda, turning national directives into neighborhood-level actions</w:t>
      </w:r>
    </w:p>
    <w:p>
      <w:pPr>
        <w:numPr>
          <w:ilvl w:val="0"/>
          <w:numId w:val="1002"/>
        </w:numPr>
        <w:pStyle w:val="Compact"/>
      </w:pPr>
      <w:r>
        <w:rPr>
          <w:bCs/>
          <w:b/>
        </w:rPr>
        <w:t xml:space="preserve">Zero-Click Trust Building:</w:t>
      </w:r>
      <w:r>
        <w:t xml:space="preserve"> </w:t>
      </w:r>
      <w:r>
        <w:t xml:space="preserve">Live-streamed policy implementation progress (e.g., real-time drone footage of new public park construction) eliminating voter skepticism</w:t>
      </w:r>
    </w:p>
    <w:p>
      <w:pPr>
        <w:pStyle w:val="FirstParagraph"/>
      </w:pPr>
      <w:r>
        <w:t xml:space="preserve">The Politician's team achieved a 92% positive sentiment score on Weibo for policy transparency—far exceeding the sector average of 65%. This trust metric directly correlated with sales conversion, proving that in Beijing's political market, "product quality" (i.e., governance efficacy) is the ultimate sales driver.</w:t>
      </w:r>
    </w:p>
    <w:bookmarkEnd w:id="24"/>
    <w:bookmarkStart w:id="25" w:name="challenges-and-strategic-adjustments"/>
    <w:p>
      <w:pPr>
        <w:pStyle w:val="Heading2"/>
      </w:pPr>
      <w:r>
        <w:t xml:space="preserve">Challenges and Strategic Adjustments</w:t>
      </w:r>
    </w:p>
    <w:p>
      <w:pPr>
        <w:pStyle w:val="FirstParagraph"/>
      </w:pPr>
      <w:r>
        <w:t xml:space="preserve">Initial market research revealed two key challenges:</w:t>
      </w:r>
    </w:p>
    <w:p>
      <w:pPr>
        <w:numPr>
          <w:ilvl w:val="0"/>
          <w:numId w:val="1003"/>
        </w:numPr>
        <w:pStyle w:val="Compact"/>
      </w:pPr>
      <w:r>
        <w:rPr>
          <w:bCs/>
          <w:b/>
        </w:rPr>
        <w:t xml:space="preserve">Information Overload:</w:t>
      </w:r>
      <w:r>
        <w:t xml:space="preserve"> </w:t>
      </w:r>
      <w:r>
        <w:t xml:space="preserve">68% of voters felt inundated by competing policy claims (addressed via our "Policy Simplified" micro-communication series)</w:t>
      </w:r>
    </w:p>
    <w:p>
      <w:pPr>
        <w:numPr>
          <w:ilvl w:val="0"/>
          <w:numId w:val="1003"/>
        </w:numPr>
        <w:pStyle w:val="Compact"/>
      </w:pPr>
      <w:r>
        <w:rPr>
          <w:bCs/>
          <w:b/>
        </w:rPr>
        <w:t xml:space="preserve">Regional Disparity Concerns:</w:t>
      </w:r>
      <w:r>
        <w:t xml:space="preserve"> </w:t>
      </w:r>
      <w:r>
        <w:t xml:space="preserve">Western districts expressed skepticism about central government funding (resolved through district-specific investment pledges)</w:t>
      </w:r>
    </w:p>
    <w:p>
      <w:pPr>
        <w:pStyle w:val="FirstParagraph"/>
      </w:pPr>
      <w:r>
        <w:t xml:space="preserve">The sales team implemented rapid adjustments, including a targeted WeChat community engagement program that boosted satisfaction scores by 37% within 45 days. These agile responses demonstrated the Politician's market responsiveness—a critical factor in Beijing's dynamic political ecosystem.</w:t>
      </w:r>
    </w:p>
    <w:bookmarkEnd w:id="25"/>
    <w:bookmarkStart w:id="26" w:name="X6eeee2aff3662c7ffd3054a60c0cef25389cef0"/>
    <w:p>
      <w:pPr>
        <w:pStyle w:val="Heading2"/>
      </w:pPr>
      <w:r>
        <w:t xml:space="preserve">Future Sales Roadmap: China Beijing Governance Expansion</w:t>
      </w:r>
    </w:p>
    <w:p>
      <w:pPr>
        <w:pStyle w:val="FirstParagraph"/>
      </w:pPr>
      <w:r>
        <w:t xml:space="preserve">Based on this successful campaign, the following sales initiatives will be deployed in Phase 2:</w:t>
      </w:r>
    </w:p>
    <w:p>
      <w:pPr>
        <w:numPr>
          <w:ilvl w:val="0"/>
          <w:numId w:val="1004"/>
        </w:numPr>
        <w:pStyle w:val="Compact"/>
      </w:pPr>
      <w:r>
        <w:rPr>
          <w:bCs/>
          <w:b/>
        </w:rPr>
        <w:t xml:space="preserve">National Policy Amplification:</w:t>
      </w:r>
      <w:r>
        <w:t xml:space="preserve"> </w:t>
      </w:r>
      <w:r>
        <w:t xml:space="preserve">Scaling Beijing's Smart District model to 5 additional provincial capitals (Shanghai, Guangzhou, Chengdu)</w:t>
      </w:r>
    </w:p>
    <w:p>
      <w:pPr>
        <w:numPr>
          <w:ilvl w:val="0"/>
          <w:numId w:val="1004"/>
        </w:numPr>
        <w:pStyle w:val="Compact"/>
      </w:pPr>
      <w:r>
        <w:rPr>
          <w:bCs/>
          <w:b/>
        </w:rPr>
        <w:t xml:space="preserve">AI-Powered Voter Insights:</w:t>
      </w:r>
      <w:r>
        <w:t xml:space="preserve"> </w:t>
      </w:r>
      <w:r>
        <w:t xml:space="preserve">Implementing predictive analytics for real-time policy adjustments across all 16 districts</w:t>
      </w:r>
    </w:p>
    <w:p>
      <w:pPr>
        <w:numPr>
          <w:ilvl w:val="0"/>
          <w:numId w:val="1004"/>
        </w:numPr>
        <w:pStyle w:val="Compact"/>
      </w:pPr>
      <w:r>
        <w:rPr>
          <w:bCs/>
          <w:b/>
        </w:rPr>
        <w:t xml:space="preserve">Sustainability Product Line Expansion:</w:t>
      </w:r>
      <w:r>
        <w:t xml:space="preserve"> </w:t>
      </w:r>
      <w:r>
        <w:t xml:space="preserve">Adding "Carbon Credit Community Rewards" to the Green Horizon package</w:t>
      </w:r>
    </w:p>
    <w:p>
      <w:pPr>
        <w:pStyle w:val="FirstParagraph"/>
      </w:pPr>
      <w:r>
        <w:t xml:space="preserve">The Politician's sales pipeline now includes pre-qualified partnerships with Beijing Municipal Development Commission and State Grid China—ensuring seamless execution of policy "products" upon election. This strategic positioning places our candidate at the forefront of China's next-generation governance model, where political campaigns operate as integrated market solutions.</w:t>
      </w:r>
    </w:p>
    <w:bookmarkEnd w:id="26"/>
    <w:bookmarkStart w:id="27" w:name="X9ce8bac0216814f83c6004ae3d6753ad7a24a9d"/>
    <w:p>
      <w:pPr>
        <w:pStyle w:val="Heading2"/>
      </w:pPr>
      <w:r>
        <w:t xml:space="preserve">Conclusion: The New Sales Paradigm in China Beijing</w:t>
      </w:r>
    </w:p>
    <w:p>
      <w:pPr>
        <w:pStyle w:val="FirstParagraph"/>
      </w:pPr>
      <w:r>
        <w:t xml:space="preserve">This Sales Report confirms that effective political engagement in Beijing must transcend traditional campaigning to become a data-driven sales process. The Politician's campaign achieved extraordinary results by treating policy implementation as a premium product line, leveraging China's digital infrastructure to build trust at scale. With Beijing setting the pace for national governance innovation, this campaign establishes a replicable framework for future political "sales" across China—proving that in the world's most dynamic capital city, leadership is measured not just by promises, but by demonstrable market performance.</w:t>
      </w:r>
    </w:p>
    <w:p>
      <w:pPr>
        <w:pStyle w:val="BodyText"/>
      </w:pPr>
      <w:r>
        <w:rPr>
          <w:bCs/>
          <w:b/>
        </w:rPr>
        <w:t xml:space="preserve">Report Prepared For:</w:t>
      </w:r>
      <w:r>
        <w:t xml:space="preserve"> </w:t>
      </w:r>
      <w:r>
        <w:t xml:space="preserve">Beijing Municipal People's Congress Election Committee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Strategic Governance Analytics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Political Campaign Sales Performance Report</dc:title>
  <dc:creator/>
  <dc:language>en</dc:language>
  <cp:keywords/>
  <dcterms:created xsi:type="dcterms:W3CDTF">2026-07-21T06:04:15Z</dcterms:created>
  <dcterms:modified xsi:type="dcterms:W3CDTF">2026-07-21T06:04:15Z</dcterms:modified>
</cp:coreProperties>
</file>

<file path=docProps/custom.xml><?xml version="1.0" encoding="utf-8"?>
<Properties xmlns="http://schemas.openxmlformats.org/officeDocument/2006/custom-properties" xmlns:vt="http://schemas.openxmlformats.org/officeDocument/2006/docPropsVTypes"/>
</file>