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Political</w:t>
      </w:r>
      <w:r>
        <w:t xml:space="preserve"> </w:t>
      </w:r>
      <w:r>
        <w:t xml:space="preserve">Sales</w:t>
      </w:r>
      <w:r>
        <w:t xml:space="preserve"> </w:t>
      </w:r>
      <w:r>
        <w:t xml:space="preserve">Performance</w:t>
      </w:r>
      <w:r>
        <w:t xml:space="preserve"> </w:t>
      </w:r>
      <w:r>
        <w:t xml:space="preserve">Report:</w:t>
      </w:r>
      <w:r>
        <w:t xml:space="preserve"> </w:t>
      </w:r>
      <w:r>
        <w:t xml:space="preserve">Colombia</w:t>
      </w:r>
      <w:r>
        <w:t xml:space="preserve"> </w:t>
      </w:r>
      <w:r>
        <w:t xml:space="preserve">Bogotá</w:t>
      </w:r>
    </w:p>
    <w:bookmarkStart w:id="28" w:name="X0268fb3e7586b80029ab042f94650305608531c"/>
    <w:p>
      <w:pPr>
        <w:pStyle w:val="Heading1"/>
      </w:pPr>
      <w:r>
        <w:t xml:space="preserve">Political Sales Performance Report: Executive Campaign Analysis for Colombia Bogotá</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Political Strategy Committee</w:t>
      </w:r>
      <w:r>
        <w:br/>
      </w:r>
      <w:r>
        <w:rPr>
          <w:bCs/>
          <w:b/>
        </w:rPr>
        <w:t xml:space="preserve">Purpose:</w:t>
      </w:r>
      <w:r>
        <w:t xml:space="preserve"> </w:t>
      </w:r>
      <w:r>
        <w:t xml:space="preserve">Comprehensive Assessment of Candidate Outreach and Voter Acquisition in Colombia's Capital</w:t>
      </w:r>
    </w:p>
    <w:bookmarkStart w:id="20" w:name="i.-executive-summary"/>
    <w:p>
      <w:pPr>
        <w:pStyle w:val="Heading2"/>
      </w:pPr>
      <w:r>
        <w:t xml:space="preserve">I. Executive Summary</w:t>
      </w:r>
    </w:p>
    <w:p>
      <w:pPr>
        <w:pStyle w:val="FirstParagraph"/>
      </w:pPr>
      <w:r>
        <w:t xml:space="preserve">This Sales Report presents a detailed analysis of the electoral campaign performance for our featured Politician across all 20 localities of Colombia Bogotá during Q3-Q4 2023. The data reveals a strategic sales conversion rate of 68% in key voting blocs, significantly outperforming regional benchmarks by 24 percentage points. The campaign's targeted voter acquisition initiatives have established the Politician as the undisputed frontrunner in Colombia Bogotá's political landscape. This report validates our investment in hyper-localized engagement strategies, demonstrating how political "sales" now operate through community trust rather than traditional advertising.</w:t>
      </w:r>
    </w:p>
    <w:bookmarkEnd w:id="20"/>
    <w:bookmarkStart w:id="21" w:name="X2bf4af3cdfdf7808843b970b132372a44766c8d"/>
    <w:p>
      <w:pPr>
        <w:pStyle w:val="Heading2"/>
      </w:pPr>
      <w:r>
        <w:t xml:space="preserve">II. Market Analysis: The Colombia Bogotá Political Landscape</w:t>
      </w:r>
    </w:p>
    <w:p>
      <w:pPr>
        <w:pStyle w:val="FirstParagraph"/>
      </w:pPr>
      <w:r>
        <w:t xml:space="preserve">Colombia Bogotá represents a microcosm of national political challenges with unique voter demographics demanding tailored outreach. With 7.4 million registered voters, our Sales Report identifies three critical segments:</w:t>
      </w:r>
    </w:p>
    <w:p>
      <w:pPr>
        <w:numPr>
          <w:ilvl w:val="0"/>
          <w:numId w:val="1001"/>
        </w:numPr>
        <w:pStyle w:val="Compact"/>
      </w:pPr>
      <w:r>
        <w:rPr>
          <w:bCs/>
          <w:b/>
        </w:rPr>
        <w:t xml:space="preserve">Urban Professionals (38%):</w:t>
      </w:r>
      <w:r>
        <w:t xml:space="preserve"> </w:t>
      </w:r>
      <w:r>
        <w:t xml:space="preserve">Prioritize infrastructure and public safety; responded favorably to data-driven policy presentations at tech hubs like Zona T.</w:t>
      </w:r>
    </w:p>
    <w:p>
      <w:pPr>
        <w:numPr>
          <w:ilvl w:val="0"/>
          <w:numId w:val="1001"/>
        </w:numPr>
        <w:pStyle w:val="Compact"/>
      </w:pPr>
      <w:r>
        <w:rPr>
          <w:bCs/>
          <w:b/>
        </w:rPr>
        <w:t xml:space="preserve">Working-Class Families (42%):</w:t>
      </w:r>
      <w:r>
        <w:t xml:space="preserve"> </w:t>
      </w:r>
      <w:r>
        <w:t xml:space="preserve">Sensitive to cost-of-living initiatives; converted at 76% through neighborhood town halls in Suba and La Candelaria.</w:t>
      </w:r>
    </w:p>
    <w:p>
      <w:pPr>
        <w:numPr>
          <w:ilvl w:val="0"/>
          <w:numId w:val="1001"/>
        </w:numPr>
        <w:pStyle w:val="Compact"/>
      </w:pPr>
      <w:r>
        <w:rPr>
          <w:bCs/>
          <w:b/>
        </w:rPr>
        <w:t xml:space="preserve">Youth Voters (20%):</w:t>
      </w:r>
      <w:r>
        <w:t xml:space="preserve"> </w:t>
      </w:r>
      <w:r>
        <w:t xml:space="preserve">Digital-first engagement essential; achieved 89% social media conversion rate via TikTok policy explainers targeting university districts.</w:t>
      </w:r>
    </w:p>
    <w:p>
      <w:pPr>
        <w:pStyle w:val="FirstParagraph"/>
      </w:pPr>
      <w:r>
        <w:t xml:space="preserve">Our Politician's "Community First" sales pitch directly addressed Bogotá's pain points: 73% of voters cited traffic congestion as their top concern (vs. national average of 61%), which became the cornerstone of our voter acquisition strategy. The Sales Report confirms that when policy solutions align with local realities, conversion rates increase by 52%.</w:t>
      </w:r>
    </w:p>
    <w:bookmarkEnd w:id="21"/>
    <w:bookmarkStart w:id="22" w:name="Xd1f4aebd570be2dc48f276c5909e4338a9adea4"/>
    <w:p>
      <w:pPr>
        <w:pStyle w:val="Heading2"/>
      </w:pPr>
      <w:r>
        <w:t xml:space="preserve">III. Sales Performance Metrics: Colombia Bogotá Campaign</w:t>
      </w:r>
    </w:p>
    <w:p>
      <w:pPr>
        <w:pStyle w:val="FirstParagraph"/>
      </w:pPr>
      <w:r>
        <w:t xml:space="preserve">The following table summarizes key sales indicators against pre-campaign targets:</w:t>
      </w:r>
    </w:p>
    <w:p>
      <w:pPr>
        <w:pStyle w:val="BodyText"/>
      </w:pPr>
      <w:r>
        <w:t xml:space="preserve">KPI</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Voter Contact Rate (Per Locality)</w:t>
      </w:r>
    </w:p>
    <w:p>
      <w:pPr>
        <w:pStyle w:val="BodyText"/>
      </w:pPr>
      <w:r>
        <w:t xml:space="preserve">42%</w:t>
      </w:r>
    </w:p>
    <w:p>
      <w:pPr>
        <w:pStyle w:val="BodyText"/>
      </w:pPr>
      <w:r>
        <w:t xml:space="preserve">67%</w:t>
      </w:r>
    </w:p>
    <w:p>
      <w:pPr>
        <w:pStyle w:val="BodyText"/>
      </w:pPr>
      <w:r>
        <w:t xml:space="preserve">+25pts</w:t>
      </w:r>
    </w:p>
    <w:p>
      <w:pPr>
        <w:pStyle w:val="BodyText"/>
      </w:pPr>
      <w:r>
        <w:t xml:space="preserve">Endorsement Conversion</w:t>
      </w:r>
    </w:p>
    <w:p>
      <w:pPr>
        <w:pStyle w:val="BodyText"/>
      </w:pPr>
      <w:r>
        <w:t xml:space="preserve">d38%61%</w:t>
      </w:r>
    </w:p>
    <w:p>
      <w:pPr>
        <w:pStyle w:val="BodyText"/>
      </w:pPr>
      <w:r>
        <w:t xml:space="preserve">Key Political Sales Achievement: 92% of registered voters in Teusaquillo district now recognize the Politician's name (vs. 57% at campaign launch)</w:t>
      </w:r>
    </w:p>
    <w:p>
      <w:pPr>
        <w:pStyle w:val="BodyText"/>
      </w:pPr>
      <w:r>
        <w:t xml:space="preserve">Notable sales breakthroughs include:</w:t>
      </w:r>
    </w:p>
    <w:p>
      <w:pPr>
        <w:numPr>
          <w:ilvl w:val="0"/>
          <w:numId w:val="1002"/>
        </w:numPr>
        <w:pStyle w:val="Compact"/>
      </w:pPr>
      <w:r>
        <w:rPr>
          <w:bCs/>
          <w:b/>
        </w:rPr>
        <w:t xml:space="preserve">Civic Engagement Sales:</w:t>
      </w:r>
      <w:r>
        <w:t xml:space="preserve"> </w:t>
      </w:r>
      <w:r>
        <w:t xml:space="preserve">14,200+ community dialogues held across Bogotá's communes – exceeding target by 235%. Each dialogue generated an average of 3.7 new committed supporters.</w:t>
      </w:r>
    </w:p>
    <w:p>
      <w:pPr>
        <w:numPr>
          <w:ilvl w:val="0"/>
          <w:numId w:val="1002"/>
        </w:numPr>
        <w:pStyle w:val="Compact"/>
      </w:pPr>
      <w:r>
        <w:rPr>
          <w:bCs/>
          <w:b/>
        </w:rPr>
        <w:t xml:space="preserve">Digital Sales Funnel:</w:t>
      </w:r>
      <w:r>
        <w:t xml:space="preserve"> </w:t>
      </w:r>
      <w:r>
        <w:t xml:space="preserve">The Politician's "Bogotá Solutions" app achieved 180,000 downloads with a 41% lead generation rate from feature usage (vs. industry avg: 28%).</w:t>
      </w:r>
    </w:p>
    <w:p>
      <w:pPr>
        <w:numPr>
          <w:ilvl w:val="0"/>
          <w:numId w:val="1002"/>
        </w:numPr>
        <w:pStyle w:val="Compact"/>
      </w:pPr>
      <w:r>
        <w:rPr>
          <w:bCs/>
          <w:b/>
        </w:rPr>
        <w:t xml:space="preserve">Business Partnership Sales:</w:t>
      </w:r>
      <w:r>
        <w:t xml:space="preserve"> </w:t>
      </w:r>
      <w:r>
        <w:t xml:space="preserve">Secured endorsements from 78 local business associations – a critical sales conversion in Colombia Bogotá where economic partnerships drive voter trust.</w:t>
      </w:r>
    </w:p>
    <w:bookmarkEnd w:id="22"/>
    <w:bookmarkStart w:id="23" w:name="X06a8afe39a7325c022ad43ea489eccded4b78f3"/>
    <w:p>
      <w:pPr>
        <w:pStyle w:val="Heading2"/>
      </w:pPr>
      <w:r>
        <w:t xml:space="preserve">IV. Competitive Analysis: Market Positioning</w:t>
      </w:r>
    </w:p>
    <w:p>
      <w:pPr>
        <w:pStyle w:val="FirstParagraph"/>
      </w:pPr>
      <w:r>
        <w:t xml:space="preserve">The Sales Report confirms our Politician's unique value proposition has disrupted Bogotá's political sales environment:</w:t>
      </w:r>
    </w:p>
    <w:p>
      <w:pPr>
        <w:pStyle w:val="BlockText"/>
      </w:pPr>
      <w:r>
        <w:t xml:space="preserve">"Unlike competitors who rely on broadcast ads, our team implemented 'solution-selling' in every community – diagnosing problems like waste management in Usaquén before presenting tailored fixes. This consultative approach transformed voter acquisition from transactional to relational." – Campaign Strategy Lead</w:t>
      </w:r>
    </w:p>
    <w:p>
      <w:pPr>
        <w:pStyle w:val="FirstParagraph"/>
      </w:pPr>
      <w:r>
        <w:t xml:space="preserve">Competitor sales metrics show a 31% decline in voter engagement during the same period, while our Politician's campaign demonstrates:</w:t>
      </w:r>
    </w:p>
    <w:p>
      <w:pPr>
        <w:numPr>
          <w:ilvl w:val="0"/>
          <w:numId w:val="1003"/>
        </w:numPr>
        <w:pStyle w:val="Compact"/>
      </w:pPr>
      <w:r>
        <w:t xml:space="preserve">5.2x higher social media sentiment positivity (68% vs. competitor's 13%)</w:t>
      </w:r>
    </w:p>
    <w:p>
      <w:pPr>
        <w:numPr>
          <w:ilvl w:val="0"/>
          <w:numId w:val="1003"/>
        </w:numPr>
        <w:pStyle w:val="Compact"/>
      </w:pPr>
      <w:r>
        <w:t xml:space="preserve">47% increase in volunteer-to-voter conversion (vs. industry average of 32%)</w:t>
      </w:r>
    </w:p>
    <w:p>
      <w:pPr>
        <w:numPr>
          <w:ilvl w:val="0"/>
          <w:numId w:val="1003"/>
        </w:numPr>
        <w:pStyle w:val="Compact"/>
      </w:pPr>
      <w:r>
        <w:t xml:space="preserve">Zero negative press mentions related to policy proposals in Colombia Bogotá</w:t>
      </w:r>
    </w:p>
    <w:bookmarkEnd w:id="23"/>
    <w:bookmarkStart w:id="24" w:name="v.-challenges-strategic-adjustments"/>
    <w:p>
      <w:pPr>
        <w:pStyle w:val="Heading2"/>
      </w:pPr>
      <w:r>
        <w:t xml:space="preserve">V. Challenges &amp; Strategic Adjustments</w:t>
      </w:r>
    </w:p>
    <w:p>
      <w:pPr>
        <w:pStyle w:val="FirstParagraph"/>
      </w:pPr>
      <w:r>
        <w:t xml:space="preserve">The Sales Report identifies two critical challenges requiring immediate sales strategy refinement:</w:t>
      </w:r>
    </w:p>
    <w:p>
      <w:pPr>
        <w:numPr>
          <w:ilvl w:val="0"/>
          <w:numId w:val="1004"/>
        </w:numPr>
        <w:pStyle w:val="Compact"/>
      </w:pPr>
      <w:r>
        <w:rPr>
          <w:bCs/>
          <w:b/>
        </w:rPr>
        <w:t xml:space="preserve">Resource Allocation Gap:</w:t>
      </w:r>
      <w:r>
        <w:t xml:space="preserve"> </w:t>
      </w:r>
      <w:r>
        <w:t xml:space="preserve">Southern communes (Bosa, Engativá) showed 18% lower engagement due to insufficient grassroots teams. Solution: Deployed mobile "Voter Acquisition Units" with bilingual staff (Spanish/English), increasing conversions by 33% in Week 5.</w:t>
      </w:r>
    </w:p>
    <w:p>
      <w:pPr>
        <w:numPr>
          <w:ilvl w:val="0"/>
          <w:numId w:val="1004"/>
        </w:numPr>
        <w:pStyle w:val="Compact"/>
      </w:pPr>
      <w:r>
        <w:rPr>
          <w:bCs/>
          <w:b/>
        </w:rPr>
        <w:t xml:space="preserve">Digital Trust Deficit:</w:t>
      </w:r>
      <w:r>
        <w:t xml:space="preserve"> </w:t>
      </w:r>
      <w:r>
        <w:t xml:space="preserve">Initial social media metrics indicated skepticism about policy details. Strategic pivot: Launched "Policy Sales Explainer" videos featuring community leaders, resulting in a 44% increase in shareable content and a 29% boost in trust metrics.</w:t>
      </w:r>
    </w:p>
    <w:bookmarkEnd w:id="24"/>
    <w:bookmarkStart w:id="25" w:name="Xc960dc9260174a6061caad77b2d6de162a9e37f"/>
    <w:p>
      <w:pPr>
        <w:pStyle w:val="Heading2"/>
      </w:pPr>
      <w:r>
        <w:t xml:space="preserve">VI. Future Sales Roadmap for Colombia Bogotá</w:t>
      </w:r>
    </w:p>
    <w:p>
      <w:pPr>
        <w:pStyle w:val="FirstParagraph"/>
      </w:pPr>
      <w:r>
        <w:t xml:space="preserve">Based on this Sales Report analysis, we recommend the following targeted initiatives:</w:t>
      </w:r>
    </w:p>
    <w:p>
      <w:pPr>
        <w:numPr>
          <w:ilvl w:val="0"/>
          <w:numId w:val="1005"/>
        </w:numPr>
        <w:pStyle w:val="Compact"/>
      </w:pPr>
      <w:r>
        <w:rPr>
          <w:bCs/>
          <w:b/>
        </w:rPr>
        <w:t xml:space="preserve">Hyper-Local Sales Teams:</w:t>
      </w:r>
      <w:r>
        <w:t xml:space="preserve"> </w:t>
      </w:r>
      <w:r>
        <w:t xml:space="preserve">Establish 3 new neighborhood sales pods in priority communes by November 15, focusing exclusively on micro-community solutions.</w:t>
      </w:r>
    </w:p>
    <w:p>
      <w:pPr>
        <w:numPr>
          <w:ilvl w:val="0"/>
          <w:numId w:val="1005"/>
        </w:numPr>
        <w:pStyle w:val="Compact"/>
      </w:pPr>
      <w:r>
        <w:rPr>
          <w:bCs/>
          <w:b/>
        </w:rPr>
        <w:t xml:space="preserve">Precision Voting Analytics:</w:t>
      </w:r>
      <w:r>
        <w:t xml:space="preserve"> </w:t>
      </w:r>
      <w:r>
        <w:t xml:space="preserve">Implement predictive modeling to identify "at-risk" voter segments – projecting 22% higher conversion rates for targeted outreach.</w:t>
      </w:r>
    </w:p>
    <w:p>
      <w:pPr>
        <w:numPr>
          <w:ilvl w:val="0"/>
          <w:numId w:val="1005"/>
        </w:numPr>
        <w:pStyle w:val="Compact"/>
      </w:pPr>
      <w:r>
        <w:rPr>
          <w:bCs/>
          <w:b/>
        </w:rPr>
        <w:t xml:space="preserve">Partnership Sales Expansion:</w:t>
      </w:r>
      <w:r>
        <w:t xml:space="preserve"> </w:t>
      </w:r>
      <w:r>
        <w:t xml:space="preserve">Pursue formal agreements with 30+ community NGOs in Colombia Bogotá (e.g., Fundación Banco de la República) to co-host sales events, leveraging their trusted networks.</w:t>
      </w:r>
    </w:p>
    <w:bookmarkEnd w:id="25"/>
    <w:bookmarkStart w:id="27" w:name="X23d1db0640f35eb47baf3c8ee75ccf5f90c872f"/>
    <w:p>
      <w:pPr>
        <w:pStyle w:val="Heading2"/>
      </w:pPr>
      <w:r>
        <w:t xml:space="preserve">VII. Conclusion: The Political Sales Imperative</w:t>
      </w:r>
    </w:p>
    <w:p>
      <w:pPr>
        <w:pStyle w:val="FirstParagraph"/>
      </w:pPr>
      <w:r>
        <w:t xml:space="preserve">This comprehensive Sales Report validates that political success in Colombia Bogotá now operates on commerce principles – where trust is the currency and community engagement is the sales channel. Our Politician's campaign has transformed from a candidate profile into a proven political solution provider, achieving unprecedented voter acquisition metrics. The data confirms that when sales strategies prioritize local needs over generic messaging, political performance follows.</w:t>
      </w:r>
    </w:p>
    <w:p>
      <w:pPr>
        <w:pStyle w:val="BodyText"/>
      </w:pPr>
      <w:r>
        <w:t xml:space="preserve">As we move toward election day, we reaffirm our commitment to maintaining this high-conversion sales model. In Colombia Bogotá's competitive landscape, the Politician isn't just running for office – they're delivering on a proven sales promise that resonates with voters across every zip code. The numbers don't lie: This Sales Report represents not an election campaign, but a political sales revolution taking place in the heart of Colombia.</w:t>
      </w:r>
    </w:p>
    <w:p>
      <w:pPr>
        <w:pStyle w:val="BodyText"/>
      </w:pPr>
      <w:r>
        <w:rPr>
          <w:bCs/>
          <w:b/>
        </w:rPr>
        <w:t xml:space="preserve">Appendix:</w:t>
      </w:r>
      <w:r>
        <w:t xml:space="preserve"> </w:t>
      </w:r>
      <w:r>
        <w:t xml:space="preserve">Full data available at</w:t>
      </w:r>
      <w:r>
        <w:t xml:space="preserve"> </w:t>
      </w:r>
      <w:hyperlink r:id="rId26">
        <w:r>
          <w:rPr>
            <w:rStyle w:val="Hyperlink"/>
          </w:rPr>
          <w:t xml:space="preserve">https://politicssalesreport.bogota.gov.co</w:t>
        </w:r>
      </w:hyperlink>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politicssalesreport.bogota.gov.co" TargetMode="External" /></Relationships>
</file>

<file path=word/_rels/footnotes.xml.rels><?xml version="1.0" encoding="UTF-8"?><Relationships xmlns="http://schemas.openxmlformats.org/package/2006/relationships"><Relationship Type="http://schemas.openxmlformats.org/officeDocument/2006/relationships/hyperlink" Id="rId26" Target="https://politicssalesreport.bogota.gov.c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Sales Performance Report: Colombia Bogotá</dc:title>
  <dc:creator/>
  <dc:language>en</dc:language>
  <cp:keywords/>
  <dcterms:created xsi:type="dcterms:W3CDTF">2026-07-24T05:49:43Z</dcterms:created>
  <dcterms:modified xsi:type="dcterms:W3CDTF">2026-07-24T05:49:43Z</dcterms:modified>
</cp:coreProperties>
</file>

<file path=docProps/custom.xml><?xml version="1.0" encoding="utf-8"?>
<Properties xmlns="http://schemas.openxmlformats.org/officeDocument/2006/custom-properties" xmlns:vt="http://schemas.openxmlformats.org/officeDocument/2006/docPropsVTypes"/>
</file>