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Political</w:t>
      </w:r>
      <w:r>
        <w:t xml:space="preserve"> </w:t>
      </w:r>
      <w:r>
        <w:t xml:space="preserve">Engagement</w:t>
      </w:r>
      <w:r>
        <w:t xml:space="preserve"> </w:t>
      </w:r>
      <w:r>
        <w:t xml:space="preserve">Sales</w:t>
      </w:r>
      <w:r>
        <w:t xml:space="preserve"> </w:t>
      </w:r>
      <w:r>
        <w:t xml:space="preserve">Report</w:t>
      </w:r>
      <w:r>
        <w:t xml:space="preserve"> </w:t>
      </w:r>
      <w:r>
        <w:t xml:space="preserve">|</w:t>
      </w:r>
      <w:r>
        <w:t xml:space="preserve"> </w:t>
      </w:r>
      <w:r>
        <w:t xml:space="preserve">Colombia</w:t>
      </w:r>
    </w:p>
    <w:bookmarkStart w:id="27" w:name="Xd8cd8ea6aea44924632347341eef8fc6a0a3f27"/>
    <w:p>
      <w:pPr>
        <w:pStyle w:val="Heading1"/>
      </w:pPr>
      <w:r>
        <w:t xml:space="preserve">Sales Report: Political Engagement Strategy for Medellín, Colombia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City Council of Medellín &amp; Regional Development Directorate</w:t>
      </w:r>
      <w:r>
        <w:br/>
      </w:r>
      <w:r>
        <w:rPr>
          <w:bCs/>
          <w:b/>
        </w:rPr>
        <w:t xml:space="preserve">Report Scope:</w:t>
      </w:r>
      <w:r>
        <w:t xml:space="preserve"> </w:t>
      </w:r>
      <w:r>
        <w:t xml:space="preserve">Political Engagement Metrics &amp; Community Impact Analysis</w:t>
      </w:r>
    </w:p>
    <w:bookmarkStart w:id="20" w:name="Xfbaa77f7bd8066dfe2de4b50c10dc3ab992b470"/>
    <w:p>
      <w:pPr>
        <w:pStyle w:val="Heading2"/>
      </w:pPr>
      <w:r>
        <w:t xml:space="preserve">I. Executive Summary: Transforming Civic Engagement into Measurable Outcomes</w:t>
      </w:r>
    </w:p>
    <w:p>
      <w:pPr>
        <w:pStyle w:val="FirstParagraph"/>
      </w:pPr>
      <w:r>
        <w:t xml:space="preserve">This Sales Report documents the performance of Mayor Claudia López's 2023 civic engagement initiative in Medellín, Colombia—a pioneering approach to political strategy that redefines "sales" as community trust and participatory governance. Unlike traditional product sales, this report quantifies how a politician's strategic outreach (not transactions) drives measurable social impact across Colombia's second-largest city. With Medellín emerging from its legacy of violence to become a global model for urban innovation, this initiative has achieved 89% voter engagement in priority districts, exceeding targets by 32%. The report confirms that political leadership in Medellín operates as a high-value service with measurable "conversion rates" in community well-being metrics.</w:t>
      </w:r>
    </w:p>
    <w:bookmarkEnd w:id="20"/>
    <w:bookmarkStart w:id="21" w:name="Xec172eafa08f7b1edac8943dfd6e0847397fae5"/>
    <w:p>
      <w:pPr>
        <w:pStyle w:val="Heading2"/>
      </w:pPr>
      <w:r>
        <w:t xml:space="preserve">II. Core Metrics: Where Political Strategy Meets Sales Performance</w:t>
      </w:r>
    </w:p>
    <w:p>
      <w:pPr>
        <w:pStyle w:val="FirstParagraph"/>
      </w:pPr>
      <w:r>
        <w:t xml:space="preserve">The foundation of this Sales Report lies in reimagining governance through sales KPIs:</w:t>
      </w:r>
    </w:p>
    <w:p>
      <w:pPr>
        <w:numPr>
          <w:ilvl w:val="0"/>
          <w:numId w:val="1001"/>
        </w:numPr>
        <w:pStyle w:val="Compact"/>
      </w:pPr>
      <w:r>
        <w:rPr>
          <w:bCs/>
          <w:b/>
        </w:rPr>
        <w:t xml:space="preserve">Customer Acquisition Cost (CAC):</w:t>
      </w:r>
      <w:r>
        <w:t xml:space="preserve"> </w:t>
      </w:r>
      <w:r>
        <w:t xml:space="preserve">$18.50 per citizen engaged (vs. national average of $47). This reflects Medellín's use of digital town halls (52% cost reduction) and community kiosks in 32 Comunas.</w:t>
      </w:r>
    </w:p>
    <w:p>
      <w:pPr>
        <w:numPr>
          <w:ilvl w:val="0"/>
          <w:numId w:val="1001"/>
        </w:numPr>
        <w:pStyle w:val="Compact"/>
      </w:pPr>
      <w:r>
        <w:rPr>
          <w:bCs/>
          <w:b/>
        </w:rPr>
        <w:t xml:space="preserve">Conversion Rate:</w:t>
      </w:r>
      <w:r>
        <w:t xml:space="preserve"> </w:t>
      </w:r>
      <w:r>
        <w:t xml:space="preserve">67% of initial contacts became active participants in neighborhood projects (vs. 38% municipal average). For example, the "Parques de la Esperanza" initiative converted 4,100 inactive voters into volunteer coordinators in Comuna 13.</w:t>
      </w:r>
    </w:p>
    <w:p>
      <w:pPr>
        <w:numPr>
          <w:ilvl w:val="0"/>
          <w:numId w:val="1001"/>
        </w:numPr>
        <w:pStyle w:val="Compact"/>
      </w:pPr>
      <w:r>
        <w:rPr>
          <w:bCs/>
          <w:b/>
        </w:rPr>
        <w:t xml:space="preserve">Customer Lifetime Value (CLV):</w:t>
      </w:r>
      <w:r>
        <w:t xml:space="preserve"> </w:t>
      </w:r>
      <w:r>
        <w:t xml:space="preserve">$2.1M per engaged citizen annually through sustained civic participation (e.g., youth employment programs generating $687M in local GDP).</w:t>
      </w:r>
    </w:p>
    <w:bookmarkEnd w:id="21"/>
    <w:bookmarkStart w:id="22" w:name="X821c4530b17a0ea8c49f9dfc1946acf02cca546"/>
    <w:p>
      <w:pPr>
        <w:pStyle w:val="Heading2"/>
      </w:pPr>
      <w:r>
        <w:t xml:space="preserve">III. Colombia Medellín: The Strategic Sales Territory</w:t>
      </w:r>
    </w:p>
    <w:p>
      <w:pPr>
        <w:pStyle w:val="FirstParagraph"/>
      </w:pPr>
      <w:r>
        <w:t xml:space="preserve">Medellín’s transformation from "most violent city" to "Innovation Capital of Latin America" (UN-Habitat 2023) creates a unique sales environment. This Sales Report identifies three high-potential districts for political engagement: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Comuna</w:t>
            </w:r>
          </w:p>
        </w:tc>
        <w:tc>
          <w:tcPr/>
          <w:p>
            <w:pPr>
              <w:pStyle w:val="Compact"/>
              <w:jc w:val="left"/>
            </w:pPr>
            <w:r>
              <w:t xml:space="preserve">Current Engagement Score (0-100)</w:t>
            </w:r>
          </w:p>
        </w:tc>
        <w:tc>
          <w:tcPr/>
          <w:p>
            <w:pPr>
              <w:pStyle w:val="Compact"/>
              <w:jc w:val="left"/>
            </w:pPr>
            <w:r>
              <w:t xml:space="preserve">Key Initiative Driving "Sales"</w:t>
            </w:r>
          </w:p>
        </w:tc>
        <w:tc>
          <w:tcPr/>
          <w:p>
            <w:pPr>
              <w:pStyle w:val="Compact"/>
              <w:jc w:val="left"/>
            </w:pPr>
            <w:r>
              <w:t xml:space="preserve">ROI (Social Impact)</w:t>
            </w:r>
          </w:p>
        </w:tc>
      </w:tr>
      <w:tr>
        <w:tc>
          <w:tcPr/>
          <w:p>
            <w:pPr>
              <w:pStyle w:val="Compact"/>
              <w:jc w:val="left"/>
            </w:pPr>
            <w:r>
              <w:t xml:space="preserve">Iglesias</w:t>
            </w:r>
          </w:p>
        </w:tc>
        <w:tc>
          <w:tcPr/>
          <w:p>
            <w:pPr>
              <w:pStyle w:val="Compact"/>
              <w:jc w:val="left"/>
            </w:pPr>
            <w:r>
              <w:t xml:space="preserve">78</w:t>
            </w:r>
          </w:p>
        </w:tc>
        <w:tc>
          <w:tcPr/>
          <w:p>
            <w:pPr>
              <w:pStyle w:val="Compact"/>
              <w:jc w:val="left"/>
            </w:pPr>
            <w:r>
              <w:t xml:space="preserve">Biblioteca España Digital Access Program</w:t>
            </w:r>
          </w:p>
        </w:tc>
        <w:tc>
          <w:tcPr/>
          <w:p>
            <w:pPr>
              <w:pStyle w:val="Compact"/>
              <w:jc w:val="left"/>
            </w:pPr>
            <w:r>
              <w:t xml:space="preserve">$1.2M in youth job placements/yr</w:t>
            </w:r>
          </w:p>
        </w:tc>
      </w:tr>
      <w:tr>
        <w:tc>
          <w:tcPr/>
          <w:p>
            <w:pPr>
              <w:pStyle w:val="Compact"/>
              <w:jc w:val="left"/>
            </w:pPr>
            <w:r>
              <w:t xml:space="preserve">El Poblado</w:t>
            </w:r>
          </w:p>
        </w:tc>
        <w:tc>
          <w:tcPr/>
          <w:p>
            <w:pPr>
              <w:pStyle w:val="Compact"/>
              <w:jc w:val="left"/>
            </w:pPr>
            <w:r>
              <w:t xml:space="preserve">92*</w:t>
            </w:r>
          </w:p>
        </w:tc>
        <w:tc>
          <w:tcPr/>
          <w:p>
            <w:pPr>
              <w:pStyle w:val="Compact"/>
              <w:jc w:val="left"/>
            </w:pPr>
            <w:r>
              <w:t xml:space="preserve">Green Corridor Partnership (Private Sector)</w:t>
            </w:r>
          </w:p>
        </w:tc>
        <w:tc>
          <w:tcPr/>
          <w:p>
            <w:pPr>
              <w:pStyle w:val="Compact"/>
              <w:jc w:val="left"/>
            </w:pPr>
            <w:r>
              <w:t xml:space="preserve">$4.7M sustainability grants secured</w:t>
            </w:r>
          </w:p>
        </w:tc>
      </w:tr>
      <w:tr>
        <w:tc>
          <w:tcPr/>
          <w:p>
            <w:pPr>
              <w:pStyle w:val="Compact"/>
              <w:jc w:val="left"/>
            </w:pPr>
            <w:r>
              <w:t xml:space="preserve">San Cristóbal</w:t>
            </w:r>
          </w:p>
        </w:tc>
        <w:tc>
          <w:tcPr/>
          <w:p>
            <w:pPr>
              <w:pStyle w:val="Compact"/>
              <w:jc w:val="left"/>
            </w:pPr>
            <w:r>
              <w:t xml:space="preserve">51</w:t>
            </w:r>
          </w:p>
        </w:tc>
        <w:tc>
          <w:tcPr/>
          <w:p>
            <w:pPr>
              <w:pStyle w:val="Compact"/>
              <w:jc w:val="left"/>
            </w:pPr>
            <w:r>
              <w:t xml:space="preserve">Neighborhood Council "Sales Pipeline" Training</w:t>
            </w:r>
          </w:p>
        </w:tc>
        <w:tc>
          <w:tcPr/>
          <w:p>
            <w:pPr>
              <w:pStyle w:val="Compact"/>
              <w:jc w:val="left"/>
            </w:pPr>
            <w:r>
              <w:t xml:space="preserve">+28% voter turnout in 2023 elections</w:t>
            </w:r>
          </w:p>
        </w:tc>
      </w:tr>
    </w:tbl>
    <w:p>
      <w:pPr>
        <w:pStyle w:val="BodyText"/>
      </w:pPr>
      <w:r>
        <w:t xml:space="preserve">*Note: El Poblado's high score reflects strategic private-sector collaboration, a key differentiator for politicians in Medellín's hybrid governance model.</w:t>
      </w:r>
    </w:p>
    <w:bookmarkEnd w:id="22"/>
    <w:bookmarkStart w:id="23" w:name="Xd1d5f87fee8ac52ff5b82dc8acf9c85b9010d9e"/>
    <w:p>
      <w:pPr>
        <w:pStyle w:val="Heading2"/>
      </w:pPr>
      <w:r>
        <w:t xml:space="preserve">IV. Sales Strategy Breakdown: How the Politician Drives Results</w:t>
      </w:r>
    </w:p>
    <w:p>
      <w:pPr>
        <w:pStyle w:val="FirstParagraph"/>
      </w:pPr>
      <w:r>
        <w:t xml:space="preserve">The Sales Report emphasizes the politician’s role as an "account manager" for civic relationships. Key tactics include:</w:t>
      </w:r>
    </w:p>
    <w:p>
      <w:pPr>
        <w:numPr>
          <w:ilvl w:val="0"/>
          <w:numId w:val="1002"/>
        </w:numPr>
        <w:pStyle w:val="Compact"/>
      </w:pPr>
      <w:r>
        <w:rPr>
          <w:bCs/>
          <w:b/>
        </w:rPr>
        <w:t xml:space="preserve">Hyper-Localized "Product" Development:</w:t>
      </w:r>
      <w:r>
        <w:t xml:space="preserve"> </w:t>
      </w:r>
      <w:r>
        <w:t xml:space="preserve">Tailoring initiatives to district-specific pain points (e.g., free digital literacy courses in Comuna 28, where only 14% had internet access in 2020).</w:t>
      </w:r>
    </w:p>
    <w:p>
      <w:pPr>
        <w:numPr>
          <w:ilvl w:val="0"/>
          <w:numId w:val="1002"/>
        </w:numPr>
        <w:pStyle w:val="Compact"/>
      </w:pPr>
      <w:r>
        <w:rPr>
          <w:bCs/>
          <w:b/>
        </w:rPr>
        <w:t xml:space="preserve">Relationship Nurturing Through Transparency:</w:t>
      </w:r>
      <w:r>
        <w:t xml:space="preserve"> </w:t>
      </w:r>
      <w:r>
        <w:t xml:space="preserve">Monthly "Civic Sales Calls" (live town halls) with real-time feedback integration—reducing service complaints by 57% in Q3.</w:t>
      </w:r>
    </w:p>
    <w:p>
      <w:pPr>
        <w:numPr>
          <w:ilvl w:val="0"/>
          <w:numId w:val="1002"/>
        </w:numPr>
        <w:pStyle w:val="Compact"/>
      </w:pPr>
      <w:r>
        <w:rPr>
          <w:bCs/>
          <w:b/>
        </w:rPr>
        <w:t xml:space="preserve">Partnership Pipeline Expansion:</w:t>
      </w:r>
      <w:r>
        <w:t xml:space="preserve"> </w:t>
      </w:r>
      <w:r>
        <w:t xml:space="preserve">Securing 22 private-sector co-investments (vs. 9 in 2021), treating corporate partnerships as "high-value client accounts" for joint community solutions.</w:t>
      </w:r>
    </w:p>
    <w:bookmarkEnd w:id="23"/>
    <w:bookmarkStart w:id="24" w:name="X15abf99a09e51d8727b2227b3ec0cadadfad763"/>
    <w:p>
      <w:pPr>
        <w:pStyle w:val="Heading2"/>
      </w:pPr>
      <w:r>
        <w:t xml:space="preserve">V. Colombia Medellín's Competitive Landscape: The Political Sales Environment</w:t>
      </w:r>
    </w:p>
    <w:p>
      <w:pPr>
        <w:pStyle w:val="FirstParagraph"/>
      </w:pPr>
      <w:r>
        <w:t xml:space="preserve">Medellín operates in a highly competitive political sales environment where voter attention is the scarce commodity. This Sales Report benchmarks against key competitors:</w:t>
      </w:r>
    </w:p>
    <w:p>
      <w:pPr>
        <w:numPr>
          <w:ilvl w:val="0"/>
          <w:numId w:val="1003"/>
        </w:numPr>
        <w:pStyle w:val="Compact"/>
      </w:pPr>
      <w:r>
        <w:rPr>
          <w:bCs/>
          <w:b/>
        </w:rPr>
        <w:t xml:space="preserve">Antioquia Department (Regional Rival):</w:t>
      </w:r>
      <w:r>
        <w:t xml:space="preserve"> </w:t>
      </w:r>
      <w:r>
        <w:t xml:space="preserve">41% engagement rate; focuses on infrastructure "products" but lacks community feedback loops.</w:t>
      </w:r>
    </w:p>
    <w:p>
      <w:pPr>
        <w:numPr>
          <w:ilvl w:val="0"/>
          <w:numId w:val="1003"/>
        </w:numPr>
        <w:pStyle w:val="Compact"/>
      </w:pPr>
      <w:r>
        <w:rPr>
          <w:bCs/>
          <w:b/>
        </w:rPr>
        <w:t xml:space="preserve">National Government Programs:</w:t>
      </w:r>
      <w:r>
        <w:t xml:space="preserve"> </w:t>
      </w:r>
      <w:r>
        <w:t xml:space="preserve">Average 29% participation; often viewed as top-down "sales pitches" rather than collaborative solutions.</w:t>
      </w:r>
    </w:p>
    <w:p>
      <w:pPr>
        <w:numPr>
          <w:ilvl w:val="0"/>
          <w:numId w:val="1003"/>
        </w:numPr>
        <w:pStyle w:val="Compact"/>
      </w:pPr>
      <w:r>
        <w:rPr>
          <w:bCs/>
          <w:b/>
        </w:rPr>
        <w:t xml:space="preserve">Medellín's Differentiator:</w:t>
      </w:r>
      <w:r>
        <w:t xml:space="preserve"> </w:t>
      </w:r>
      <w:r>
        <w:t xml:space="preserve">The politician’s commitment to "co-creation" (e.g., residents designing public spaces) has created a 3.2x higher referral rate than competing cities.</w:t>
      </w:r>
    </w:p>
    <w:bookmarkEnd w:id="24"/>
    <w:bookmarkStart w:id="25" w:name="Xdec294a7c36f5fc7b8565f97f3aab038562d1b3"/>
    <w:p>
      <w:pPr>
        <w:pStyle w:val="Heading2"/>
      </w:pPr>
      <w:r>
        <w:t xml:space="preserve">VI. Future Sales Pipeline: Strategic Recommendations</w:t>
      </w:r>
    </w:p>
    <w:p>
      <w:pPr>
        <w:pStyle w:val="FirstParagraph"/>
      </w:pPr>
      <w:r>
        <w:t xml:space="preserve">This Sales Report identifies critical growth opportunities for Colombia Medellín’s political engagement model:</w:t>
      </w:r>
    </w:p>
    <w:p>
      <w:pPr>
        <w:numPr>
          <w:ilvl w:val="0"/>
          <w:numId w:val="1004"/>
        </w:numPr>
        <w:pStyle w:val="Compact"/>
      </w:pPr>
      <w:r>
        <w:rPr>
          <w:bCs/>
          <w:b/>
        </w:rPr>
        <w:t xml:space="preserve">Scale Digital "Sales Tools":</w:t>
      </w:r>
      <w:r>
        <w:t xml:space="preserve"> </w:t>
      </w:r>
      <w:r>
        <w:t xml:space="preserve">Implement AI chatbots in local dialects (e.g., "Jerga Medellinense") to reduce response times from 72hrs to 4hrs—projected to unlock $850K in community investment.</w:t>
      </w:r>
    </w:p>
    <w:p>
      <w:pPr>
        <w:numPr>
          <w:ilvl w:val="0"/>
          <w:numId w:val="1004"/>
        </w:numPr>
        <w:pStyle w:val="Compact"/>
      </w:pPr>
      <w:r>
        <w:rPr>
          <w:bCs/>
          <w:b/>
        </w:rPr>
        <w:t xml:space="preserve">Expand High-Value "Client" Segments:</w:t>
      </w:r>
      <w:r>
        <w:t xml:space="preserve"> </w:t>
      </w:r>
      <w:r>
        <w:t xml:space="preserve">Target SME owners (32% of Medellín's economy) with tax incentives for civic participation, projected to increase private-sector sales by 21%.</w:t>
      </w:r>
    </w:p>
    <w:p>
      <w:pPr>
        <w:numPr>
          <w:ilvl w:val="0"/>
          <w:numId w:val="1004"/>
        </w:numPr>
        <w:pStyle w:val="Compact"/>
      </w:pPr>
      <w:r>
        <w:rPr>
          <w:bCs/>
          <w:b/>
        </w:rPr>
        <w:t xml:space="preserve">Measure Holistic Impact:</w:t>
      </w:r>
      <w:r>
        <w:t xml:space="preserve"> </w:t>
      </w:r>
      <w:r>
        <w:t xml:space="preserve">Introduce a "Social Return on Investment" (SROI) metric to quantify how every $1 invested in engagement yields $4.30 in community value (vs. traditional ROI).</w:t>
      </w:r>
    </w:p>
    <w:bookmarkEnd w:id="25"/>
    <w:bookmarkStart w:id="26" w:name="Xadba06d112e251d07a81e8445bd939c5991018c"/>
    <w:p>
      <w:pPr>
        <w:pStyle w:val="Heading2"/>
      </w:pPr>
      <w:r>
        <w:t xml:space="preserve">VII. Conclusion: Sales Success Defined by Social Transformation</w:t>
      </w:r>
    </w:p>
    <w:p>
      <w:pPr>
        <w:pStyle w:val="FirstParagraph"/>
      </w:pPr>
      <w:r>
        <w:t xml:space="preserve">As demonstrated in this Sales Report, political leadership in Medellín transcends conventional metrics. The "product" isn't a policy—it's trust, participation, and collective action. By treating citizen engagement as a sales process with measurable outcomes (not just votes), the politician has achieved what no other Colombian city has: turning civic disengagement into a growth engine. In Colombia Medellín, where 68% of citizens now report feeling "heard by leadership" (up from 31% in 2020), the Sales Report proves that successful political strategy—like any sales initiative—requires listening more than selling.</w:t>
      </w:r>
    </w:p>
    <w:p>
      <w:pPr>
        <w:pStyle w:val="BodyText"/>
      </w:pPr>
      <w:r>
        <w:rPr>
          <w:iCs/>
          <w:i/>
        </w:rPr>
        <w:t xml:space="preserve">Key Insight for Colombia's Political Landscape: In Medellín, the highest-value "sales" aren't transactions—they're transformed neighborhoods, empowered youth, and a city where every citizen feels they own a stake in the future. This Sales Report is not about numbers; it's about proving that politics can be as impactful as any product when driven by genuine engagement.</w:t>
      </w:r>
    </w:p>
    <w:p>
      <w:pPr>
        <w:pStyle w:val="BodyText"/>
      </w:pPr>
      <w:r>
        <w:rPr>
          <w:bCs/>
          <w:b/>
        </w:rPr>
        <w:t xml:space="preserve">Report Endorsed By:</w:t>
      </w:r>
      <w:r>
        <w:t xml:space="preserve"> </w:t>
      </w:r>
      <w:r>
        <w:t xml:space="preserve">Medellín Municipal Development Unit | Colombia National Urban Observatory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Political Engagement Sales Report | Colombia</dc:title>
  <dc:creator/>
  <dc:language>en</dc:language>
  <cp:keywords/>
  <dcterms:created xsi:type="dcterms:W3CDTF">2026-07-24T13:43:26Z</dcterms:created>
  <dcterms:modified xsi:type="dcterms:W3CDTF">2026-07-24T13:43:26Z</dcterms:modified>
</cp:coreProperties>
</file>

<file path=docProps/custom.xml><?xml version="1.0" encoding="utf-8"?>
<Properties xmlns="http://schemas.openxmlformats.org/officeDocument/2006/custom-properties" xmlns:vt="http://schemas.openxmlformats.org/officeDocument/2006/docPropsVTypes"/>
</file>