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Ahmed</w:t>
      </w:r>
      <w:r>
        <w:t xml:space="preserve"> </w:t>
      </w:r>
      <w:r>
        <w:t xml:space="preserve">Hassan's</w:t>
      </w:r>
      <w:r>
        <w:t xml:space="preserve"> </w:t>
      </w:r>
      <w:r>
        <w:t xml:space="preserve">Political</w:t>
      </w:r>
      <w:r>
        <w:t xml:space="preserve"> </w:t>
      </w:r>
      <w:r>
        <w:t xml:space="preserve">Campaign</w:t>
      </w:r>
      <w:r>
        <w:t xml:space="preserve"> </w:t>
      </w:r>
      <w:r>
        <w:t xml:space="preserve">-</w:t>
      </w:r>
      <w:r>
        <w:t xml:space="preserve"> </w:t>
      </w:r>
      <w:r>
        <w:t xml:space="preserve">Cairo,</w:t>
      </w:r>
      <w:r>
        <w:t xml:space="preserve"> </w:t>
      </w:r>
      <w:r>
        <w:t xml:space="preserve">Egypt</w:t>
      </w:r>
    </w:p>
    <w:bookmarkStart w:id="31" w:name="X09e39c2722608cb3cafe8e556c4fba3bda437a0"/>
    <w:p>
      <w:pPr>
        <w:pStyle w:val="Heading1"/>
      </w:pPr>
      <w:r>
        <w:t xml:space="preserve">Comprehensive Sales Performance Report: Ahmed Hassan for Governor of Cairo, Egypt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Ahmed Hassan Campaign Committee</w:t>
      </w:r>
      <w:r>
        <w:br/>
      </w:r>
      <w:r>
        <w:rPr>
          <w:bCs/>
          <w:b/>
        </w:rPr>
        <w:t xml:space="preserve">Report Period:</w:t>
      </w:r>
      <w:r>
        <w:t xml:space="preserve"> </w:t>
      </w:r>
      <w:r>
        <w:t xml:space="preserve">July 1 - September 30, 2024</w:t>
      </w:r>
      <w:r>
        <w:br/>
      </w:r>
      <w:r>
        <w:rPr>
          <w:bCs/>
          <w:b/>
        </w:rPr>
        <w:t xml:space="preserve">Location:</w:t>
      </w:r>
      <w:r>
        <w:t xml:space="preserve"> </w:t>
      </w:r>
      <w:r>
        <w:t xml:space="preserve">Cairo, Egypt</w:t>
      </w:r>
    </w:p>
    <w:bookmarkStart w:id="20" w:name="i.-executive-summary"/>
    <w:p>
      <w:pPr>
        <w:pStyle w:val="Heading2"/>
      </w:pPr>
      <w:r>
        <w:t xml:space="preserve">I. Executive Summary</w:t>
      </w:r>
    </w:p>
    <w:p>
      <w:pPr>
        <w:pStyle w:val="FirstParagraph"/>
      </w:pPr>
      <w:r>
        <w:t xml:space="preserve">This report details the sales performance metrics of Ahmed Hassan's political campaign for Governor of Cairo during Q3 2024. The campaign achieved a 37% year-over-year growth in voter acquisition across all six districts of Greater Cairo, significantly outperforming both previous election cycles and key opposition benchmarks. Our digital outreach efforts generated 185,000 new supporter leads in the metropolitan area—surpassing the projected target by 22%. Most critically, our core campaign product (policy platform delivery) secured a 68% positive sentiment rating among focus groups in Cairo's diverse neighborhoods. This performance positions Ahmed Hassan as the frontrunner for November elections with clear market differentiation.</w:t>
      </w:r>
    </w:p>
    <w:bookmarkEnd w:id="20"/>
    <w:bookmarkStart w:id="21" w:name="ii.-market-context-strategic-positioning"/>
    <w:p>
      <w:pPr>
        <w:pStyle w:val="Heading2"/>
      </w:pPr>
      <w:r>
        <w:t xml:space="preserve">II. Market Context &amp; Strategic Positioning</w:t>
      </w:r>
    </w:p>
    <w:p>
      <w:pPr>
        <w:pStyle w:val="FirstParagraph"/>
      </w:pPr>
      <w:r>
        <w:t xml:space="preserve">Cairo's political landscape presents unique challenges: 10 million residents, fragmented neighborhood identities, and intense competition in a highly regulated election environment. Our campaign repositioned traditional political sales by treating voter engagement as a premium service—replacing generic promises with customized district-specific solution packages (e.g., "Cairo Water Security Plan" for Nasr City, "Rapid Transit Initiative" for Mohandiseen). This approach transformed the campaign from a transactional effort into an ongoing relationship. The market analysis confirmed that 78% of Cairo voters prioritize tangible service delivery over rhetoric—making our solution-based sales strategy critical to differentiation in this competitive market.</w:t>
      </w:r>
    </w:p>
    <w:bookmarkEnd w:id="21"/>
    <w:bookmarkStart w:id="22" w:name="iii.-key-performance-metrics-cairo-focus"/>
    <w:p>
      <w:pPr>
        <w:pStyle w:val="Heading2"/>
      </w:pPr>
      <w:r>
        <w:t xml:space="preserve">III. Key Performance Metrics (Cairo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Result</w:t>
            </w:r>
          </w:p>
        </w:tc>
        <w:tc>
          <w:tcPr/>
          <w:p>
            <w:pPr>
              <w:pStyle w:val="Compact"/>
              <w:jc w:val="left"/>
            </w:pPr>
            <w:r>
              <w:t xml:space="preserve">Q3 2023 (Previous Cycle)</w:t>
            </w:r>
          </w:p>
        </w:tc>
        <w:tc>
          <w:tcPr/>
          <w:p>
            <w:pPr>
              <w:pStyle w:val="Compact"/>
              <w:jc w:val="left"/>
            </w:pPr>
            <w:r>
              <w:t xml:space="preserve">% Change</w:t>
            </w:r>
          </w:p>
        </w:tc>
      </w:tr>
      <w:tr>
        <w:tc>
          <w:tcPr/>
          <w:p>
            <w:pPr>
              <w:pStyle w:val="Compact"/>
              <w:jc w:val="left"/>
            </w:pPr>
            <w:r>
              <w:t xml:space="preserve">Voter Acquisition Rate (Cairo Districts)</w:t>
            </w:r>
          </w:p>
        </w:tc>
        <w:tc>
          <w:tcPr/>
          <w:p>
            <w:pPr>
              <w:pStyle w:val="Compact"/>
              <w:jc w:val="left"/>
            </w:pPr>
            <w:r>
              <w:t xml:space="preserve">41,280</w:t>
            </w:r>
          </w:p>
        </w:tc>
        <w:tc>
          <w:tcPr/>
          <w:p>
            <w:pPr>
              <w:pStyle w:val="Compact"/>
              <w:jc w:val="left"/>
            </w:pPr>
            <w:r>
              <w:t xml:space="preserve">30,150</w:t>
            </w:r>
          </w:p>
        </w:tc>
        <w:tc>
          <w:tcPr/>
          <w:p>
            <w:pPr>
              <w:pStyle w:val="Compact"/>
              <w:jc w:val="left"/>
            </w:pPr>
            <w:r>
              <w:t xml:space="preserve">+36.9%</w:t>
            </w:r>
          </w:p>
        </w:tc>
      </w:tr>
      <w:tr>
        <w:tc>
          <w:tcPr/>
          <w:p>
            <w:pPr>
              <w:pStyle w:val="Compact"/>
              <w:jc w:val="left"/>
            </w:pPr>
            <w:r>
              <w:t xml:space="preserve">Digital Lead Conversion</w:t>
            </w:r>
          </w:p>
        </w:tc>
        <w:tc>
          <w:tcPr/>
          <w:p>
            <w:pPr>
              <w:pStyle w:val="Compact"/>
              <w:jc w:val="left"/>
            </w:pPr>
            <w:r>
              <w:t xml:space="preserve">185,420 new supporters</w:t>
            </w:r>
          </w:p>
        </w:tc>
        <w:tc>
          <w:tcPr/>
          <w:p>
            <w:pPr>
              <w:pStyle w:val="Compact"/>
              <w:jc w:val="left"/>
            </w:pPr>
            <w:r>
              <w:t xml:space="preserve">152,190</w:t>
            </w:r>
          </w:p>
        </w:tc>
        <w:tc>
          <w:tcPr/>
          <w:p>
            <w:pPr>
              <w:pStyle w:val="Compact"/>
              <w:jc w:val="left"/>
            </w:pPr>
            <w:r>
              <w:t xml:space="preserve">+21.8%</w:t>
            </w:r>
          </w:p>
        </w:tc>
      </w:tr>
      <w:tr>
        <w:tc>
          <w:tcPr/>
          <w:p>
            <w:pPr>
              <w:pStyle w:val="Compact"/>
              <w:jc w:val="left"/>
            </w:pPr>
            <w:r>
              <w:t xml:space="preserve">Policy Package Adoption (District Level)</w:t>
            </w:r>
          </w:p>
        </w:tc>
        <w:tc>
          <w:tcPr/>
          <w:p>
            <w:pPr>
              <w:pStyle w:val="Compact"/>
              <w:jc w:val="left"/>
            </w:pPr>
            <w:r>
              <w:t xml:space="preserve">67% of neighborhoods</w:t>
            </w:r>
          </w:p>
        </w:tc>
        <w:tc>
          <w:tcPr/>
          <w:p>
            <w:pPr>
              <w:pStyle w:val="Compact"/>
              <w:jc w:val="left"/>
            </w:pPr>
            <w:r>
              <w:t xml:space="preserve">43% of neighborhoods</w:t>
            </w:r>
          </w:p>
        </w:tc>
        <w:tc>
          <w:tcPr/>
          <w:p>
            <w:pPr>
              <w:pStyle w:val="Compact"/>
              <w:jc w:val="left"/>
            </w:pPr>
            <w:r>
              <w:t xml:space="preserve">+55.8%</w:t>
            </w:r>
          </w:p>
        </w:tc>
      </w:tr>
      <w:tr>
        <w:tc>
          <w:tcPr/>
          <w:p>
            <w:pPr>
              <w:pStyle w:val="Compact"/>
              <w:jc w:val="left"/>
            </w:pPr>
            <w:r>
              <w:t xml:space="preserve">Sentiment Rating (Cairo Focus Groups)</w:t>
            </w:r>
          </w:p>
        </w:tc>
        <w:tc>
          <w:tcPr/>
          <w:p>
            <w:pPr>
              <w:pStyle w:val="Compact"/>
              <w:jc w:val="left"/>
            </w:pPr>
            <w:r>
              <w:t xml:space="preserve">68/100</w:t>
            </w:r>
          </w:p>
        </w:tc>
        <w:tc>
          <w:tcPr/>
          <w:p>
            <w:pPr>
              <w:pStyle w:val="Compact"/>
              <w:jc w:val="left"/>
            </w:pPr>
            <w:r>
              <w:t xml:space="preserve">52/100</w:t>
            </w:r>
          </w:p>
        </w:tc>
        <w:tc>
          <w:tcPr/>
          <w:p>
            <w:pPr>
              <w:pStyle w:val="Compact"/>
              <w:jc w:val="left"/>
            </w:pPr>
            <w:r>
              <w:t xml:space="preserve">+30.8%</w:t>
            </w:r>
          </w:p>
        </w:tc>
      </w:tr>
      <w:tr>
        <w:tc>
          <w:tcPr/>
          <w:p>
            <w:pPr>
              <w:pStyle w:val="Compact"/>
              <w:jc w:val="left"/>
            </w:pPr>
            <w:r>
              <w:t xml:space="preserve">Event Attendance (Cairo Community Hubs)</w:t>
            </w:r>
          </w:p>
        </w:tc>
        <w:tc>
          <w:tcPr/>
          <w:p>
            <w:pPr>
              <w:pStyle w:val="Compact"/>
              <w:jc w:val="left"/>
            </w:pPr>
            <w:r>
              <w:t xml:space="preserve">9,457 attendees</w:t>
            </w:r>
          </w:p>
        </w:tc>
        <w:tc>
          <w:tcPr/>
          <w:p>
            <w:pPr>
              <w:pStyle w:val="Compact"/>
              <w:jc w:val="left"/>
            </w:pPr>
            <w:r>
              <w:t xml:space="preserve">6,283 attendees</w:t>
            </w:r>
          </w:p>
        </w:tc>
        <w:tc>
          <w:tcPr/>
          <w:p>
            <w:pPr>
              <w:pStyle w:val="Compact"/>
              <w:jc w:val="left"/>
            </w:pPr>
            <w:r>
              <w:t xml:space="preserve">+50.5%</w:t>
            </w:r>
          </w:p>
        </w:tc>
      </w:tr>
    </w:tbl>
    <w:bookmarkEnd w:id="22"/>
    <w:bookmarkStart w:id="26" w:name="iv.-sales-channel-performance-analysis"/>
    <w:p>
      <w:pPr>
        <w:pStyle w:val="Heading2"/>
      </w:pPr>
      <w:r>
        <w:t xml:space="preserve">IV. Sales Channel Performance Analysis</w:t>
      </w:r>
    </w:p>
    <w:bookmarkStart w:id="23" w:name="X4198b8b3e976b57a14f3708afee48f102239d56"/>
    <w:p>
      <w:pPr>
        <w:pStyle w:val="Heading3"/>
      </w:pPr>
      <w:r>
        <w:t xml:space="preserve">A. Digital Sales Engine (Dominant Growth Driver)</w:t>
      </w:r>
    </w:p>
    <w:p>
      <w:pPr>
        <w:pStyle w:val="FirstParagraph"/>
      </w:pPr>
      <w:r>
        <w:t xml:space="preserve">Cairo's tech-savvy electorate made digital our highest-performing channel, contributing 64% of new supporters. The campaign's WhatsApp-based "Cairo Solutions Hub" generated 112,000 qualified leads—78% of which converted through personalized policy consultations. Our Instagram Reels campaign addressing specific neighborhood pain points (e.g., "Serving Giza: Parking Crisis Fix") garnered 4.3 million views with a 28% engagement rate—5x above Cairo's political average. Notably, the "Cairo Forward" mobile app recorded 18,900 downloads in Q3, enabling real-time policy feedback from residents in districts like Maadi and Heliopolis.</w:t>
      </w:r>
    </w:p>
    <w:bookmarkEnd w:id="23"/>
    <w:bookmarkStart w:id="24" w:name="Xa2e9e5ce6c2e9d0c6dfa8a37659e509b0d96b3b"/>
    <w:p>
      <w:pPr>
        <w:pStyle w:val="Heading3"/>
      </w:pPr>
      <w:r>
        <w:t xml:space="preserve">B. On-Ground Sales (Critical for Trust Building)</w:t>
      </w:r>
    </w:p>
    <w:p>
      <w:pPr>
        <w:pStyle w:val="FirstParagraph"/>
      </w:pPr>
      <w:r>
        <w:t xml:space="preserve">Our community sales team achieved remarkable penetration by conducting 214 neighborhood "Solution Sessions" across Cairo's 150+ districts. These sessions—structured like product demos—focused on delivering immediate value through district-specific policy proposals (e.g., presenting a new sanitation plan for El-Matariya). The sales conversion rate from these sessions reached 43%, significantly higher than the national average of 29%. Key success factors included: local volunteer engagement (87% Cairo residents participated), multilingual support (Arabic/English/French), and post-session "implementation tracking" follow-ups.</w:t>
      </w:r>
    </w:p>
    <w:bookmarkEnd w:id="24"/>
    <w:bookmarkStart w:id="25" w:name="c.-partnership-sales-channels"/>
    <w:p>
      <w:pPr>
        <w:pStyle w:val="Heading3"/>
      </w:pPr>
      <w:r>
        <w:t xml:space="preserve">C. Partnership Sales Channels</w:t>
      </w:r>
    </w:p>
    <w:p>
      <w:pPr>
        <w:pStyle w:val="FirstParagraph"/>
      </w:pPr>
      <w:r>
        <w:t xml:space="preserve">Strategic alliances with Cairo-based institutions drove premium market penetration:</w:t>
      </w:r>
    </w:p>
    <w:p>
      <w:pPr>
        <w:numPr>
          <w:ilvl w:val="0"/>
          <w:numId w:val="1001"/>
        </w:numPr>
        <w:pStyle w:val="Compact"/>
      </w:pPr>
      <w:r>
        <w:rPr>
          <w:bCs/>
          <w:b/>
        </w:rPr>
        <w:t xml:space="preserve">Cairo Chamber of Commerce:</w:t>
      </w:r>
      <w:r>
        <w:t xml:space="preserve"> </w:t>
      </w:r>
      <w:r>
        <w:t xml:space="preserve">Co-hosted 12 "Business Growth Summits," securing 1,480 small business owner endorsements (valued at $2.7M in indirect support)</w:t>
      </w:r>
    </w:p>
    <w:p>
      <w:pPr>
        <w:numPr>
          <w:ilvl w:val="0"/>
          <w:numId w:val="1001"/>
        </w:numPr>
        <w:pStyle w:val="Compact"/>
      </w:pPr>
      <w:r>
        <w:rPr>
          <w:bCs/>
          <w:b/>
        </w:rPr>
        <w:t xml:space="preserve">University Partnerships:</w:t>
      </w:r>
      <w:r>
        <w:t xml:space="preserve"> </w:t>
      </w:r>
      <w:r>
        <w:t xml:space="preserve">Collaborated with Cairo University's Youth Council for campus engagement, generating 6,300 new supporters through "Future of Cairo" workshops</w:t>
      </w:r>
    </w:p>
    <w:p>
      <w:pPr>
        <w:numPr>
          <w:ilvl w:val="0"/>
          <w:numId w:val="1001"/>
        </w:numPr>
        <w:pStyle w:val="Compact"/>
      </w:pPr>
      <w:r>
        <w:rPr>
          <w:bCs/>
          <w:b/>
        </w:rPr>
        <w:t xml:space="preserve">Healthcare Alliances:</w:t>
      </w:r>
      <w:r>
        <w:t xml:space="preserve"> </w:t>
      </w:r>
      <w:r>
        <w:t xml:space="preserve">Partnered with Al-Azhar Hospital network to launch "Cairo Health Access Initiative," driving 890 new supporter leads through community health screenings</w:t>
      </w:r>
    </w:p>
    <w:bookmarkEnd w:id="25"/>
    <w:bookmarkEnd w:id="26"/>
    <w:bookmarkStart w:id="27" w:name="X4f5e80c10dc888e1a3983c88a16b4b827e62c09"/>
    <w:p>
      <w:pPr>
        <w:pStyle w:val="Heading2"/>
      </w:pPr>
      <w:r>
        <w:t xml:space="preserve">V. Competitive Landscape &amp; Market Share Shifts</w:t>
      </w:r>
    </w:p>
    <w:p>
      <w:pPr>
        <w:pStyle w:val="FirstParagraph"/>
      </w:pPr>
      <w:r>
        <w:t xml:space="preserve">Our campaign's solution-oriented sales model created a significant competitive moat against opponents who relied on generic messaging. Competitor A (former mayor) recorded only 18% voter acquisition growth in Q3—lagging behind our performance by 18.9 percentage points. Competitor B's "traditional" door-knocking campaign generated just 5,200 new leads in Cairo versus our 41,280. Crucially, our policy-based approach shifted the narrative: where opponents focused on promises ("I'll fix traffic"), we delivered actionable plans ("Our $1.2M smart traffic solution for Nasr City begins November"). This positioned Ahmed Hassan's campaign as the only credible service provider in Cairo's political market.</w:t>
      </w:r>
    </w:p>
    <w:bookmarkEnd w:id="27"/>
    <w:bookmarkStart w:id="28" w:name="vi.-challenges-strategic-adjustments"/>
    <w:p>
      <w:pPr>
        <w:pStyle w:val="Heading2"/>
      </w:pPr>
      <w:r>
        <w:t xml:space="preserve">VI. Challenges &amp; Strategic Adjustments</w:t>
      </w:r>
    </w:p>
    <w:p>
      <w:pPr>
        <w:pStyle w:val="FirstParagraph"/>
      </w:pPr>
      <w:r>
        <w:t xml:space="preserve">Despite strong performance, two key challenges emerged:</w:t>
      </w:r>
    </w:p>
    <w:p>
      <w:pPr>
        <w:numPr>
          <w:ilvl w:val="0"/>
          <w:numId w:val="1002"/>
        </w:numPr>
        <w:pStyle w:val="Compact"/>
      </w:pPr>
      <w:r>
        <w:rPr>
          <w:bCs/>
          <w:b/>
        </w:rPr>
        <w:t xml:space="preserve">Digital Divide:</w:t>
      </w:r>
      <w:r>
        <w:t xml:space="preserve"> </w:t>
      </w:r>
      <w:r>
        <w:t xml:space="preserve">Rural-adjacent districts (e.g., Sheikh Zayed) showed 31% lower digital engagement. Response: Deployed 8 "Digital Bridge" kiosks in community centers with trained local staff for hands-on onboarding.</w:t>
      </w:r>
    </w:p>
    <w:p>
      <w:pPr>
        <w:numPr>
          <w:ilvl w:val="0"/>
          <w:numId w:val="1002"/>
        </w:numPr>
        <w:pStyle w:val="Compact"/>
      </w:pPr>
      <w:r>
        <w:rPr>
          <w:bCs/>
          <w:b/>
        </w:rPr>
        <w:t xml:space="preserve">Policy Complexity:</w:t>
      </w:r>
      <w:r>
        <w:t xml:space="preserve"> </w:t>
      </w:r>
      <w:r>
        <w:t xml:space="preserve">Initial voter confusion about infrastructure plans led to 14% drop-off in follow-ups. Response: Launched simplified "Cairo Plan Maps" visual guides—reducing confusion by 63% and boosting conversion rates by 22%.</w:t>
      </w:r>
    </w:p>
    <w:p>
      <w:pPr>
        <w:pStyle w:val="FirstParagraph"/>
      </w:pPr>
      <w:r>
        <w:t xml:space="preserve">These adjustments strengthened our sales pipeline, with the digital bridge initiative generating 1,850 new leads in previously underserved areas within two weeks.</w:t>
      </w:r>
    </w:p>
    <w:bookmarkEnd w:id="28"/>
    <w:bookmarkStart w:id="29" w:name="vii.-strategic-recommendations-for-q4"/>
    <w:p>
      <w:pPr>
        <w:pStyle w:val="Heading2"/>
      </w:pPr>
      <w:r>
        <w:t xml:space="preserve">VII. Strategic Recommendations for Q4</w:t>
      </w:r>
    </w:p>
    <w:p>
      <w:pPr>
        <w:numPr>
          <w:ilvl w:val="0"/>
          <w:numId w:val="1003"/>
        </w:numPr>
        <w:pStyle w:val="Compact"/>
      </w:pPr>
      <w:r>
        <w:rPr>
          <w:bCs/>
          <w:b/>
        </w:rPr>
        <w:t xml:space="preserve">Scale Policy Demonstrations:</w:t>
      </w:r>
      <w:r>
        <w:t xml:space="preserve"> </w:t>
      </w:r>
      <w:r>
        <w:t xml:space="preserve">Allocate $350K to launch 10 "Cairo Solution Labs" across high-potential districts (e.g., New Cairo, Dokki) where voters can experience policy prototypes.</w:t>
      </w:r>
    </w:p>
    <w:p>
      <w:pPr>
        <w:numPr>
          <w:ilvl w:val="0"/>
          <w:numId w:val="1003"/>
        </w:numPr>
        <w:pStyle w:val="Compact"/>
      </w:pPr>
      <w:r>
        <w:rPr>
          <w:bCs/>
          <w:b/>
        </w:rPr>
        <w:t xml:space="preserve">Elite Advocate Program:</w:t>
      </w:r>
      <w:r>
        <w:t xml:space="preserve"> </w:t>
      </w:r>
      <w:r>
        <w:t xml:space="preserve">Recruit 200 influential Cairo residents (business leaders, community icons) as "Solution Ambassadors" to drive peer-to-peer sales—projected to generate 5,000+ new leads at $38/cost vs. $112 for digital ads.</w:t>
      </w:r>
    </w:p>
    <w:p>
      <w:pPr>
        <w:numPr>
          <w:ilvl w:val="0"/>
          <w:numId w:val="1003"/>
        </w:numPr>
        <w:pStyle w:val="Compact"/>
      </w:pPr>
      <w:r>
        <w:rPr>
          <w:bCs/>
          <w:b/>
        </w:rPr>
        <w:t xml:space="preserve">Real-Time Feedback Integration:</w:t>
      </w:r>
      <w:r>
        <w:t xml:space="preserve"> </w:t>
      </w:r>
      <w:r>
        <w:t xml:space="preserve">Implement AI-powered sentiment analysis of all community interactions to refine policy messaging weekly—critical for maintaining our 68% positive rating in a dynamic market.</w:t>
      </w:r>
    </w:p>
    <w:bookmarkEnd w:id="29"/>
    <w:bookmarkStart w:id="30" w:name="X7f8adae5a6794f6b50958d62a53968723a601c9"/>
    <w:p>
      <w:pPr>
        <w:pStyle w:val="Heading2"/>
      </w:pPr>
      <w:r>
        <w:t xml:space="preserve">VIII. Conclusion: The Cairo Sales Imperative</w:t>
      </w:r>
    </w:p>
    <w:p>
      <w:pPr>
        <w:pStyle w:val="FirstParagraph"/>
      </w:pPr>
      <w:r>
        <w:t xml:space="preserve">Ahmed Hassan's campaign has successfully transformed political engagement into a service-driven sales experience that resonates deeply with Cairo residents' daily realities. Our 37% voter acquisition growth and 68% sentiment rating aren't just metrics—they represent a fundamental shift in how politics is sold in Egypt's most complex market. The key differentiator has been treating each neighborhood as a unique sales territory with customized solution packages, rather than mass-market messaging.</w:t>
      </w:r>
    </w:p>
    <w:p>
      <w:pPr>
        <w:pStyle w:val="BodyText"/>
      </w:pPr>
      <w:r>
        <w:t xml:space="preserve">As we enter the final campaign push, every action must reinforce this core principle: In Cairo's political marketplace, the product isn't just a promise—it's deliverable value. Our data proves that when voters experience tangible solutions (not just speeches), they become advocates. With 72% of Cairo residents now recognizing Ahmed Hassan as "the only candidate with a clear plan for my neighborhood," our sales strategy is positioned to deliver not just victory, but sustainable governance in Egypt's capital.</w:t>
      </w:r>
    </w:p>
    <w:p>
      <w:pPr>
        <w:pStyle w:val="BodyText"/>
      </w:pPr>
      <w:r>
        <w:rPr>
          <w:bCs/>
          <w:b/>
        </w:rPr>
        <w:t xml:space="preserve">Prepared By:</w:t>
      </w:r>
      <w:r>
        <w:t xml:space="preserve"> </w:t>
      </w:r>
      <w:r>
        <w:t xml:space="preserve">Campaign Analytics Division, Ahmed Hassan for Governor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Ahmed Hassan's Political Campaign - Cairo, Egypt</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