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Campaign</w:t>
      </w:r>
      <w:r>
        <w:t xml:space="preserve"> </w:t>
      </w:r>
      <w:r>
        <w:t xml:space="preserve">Performance</w:t>
      </w:r>
      <w:r>
        <w:t xml:space="preserve"> </w:t>
      </w:r>
      <w:r>
        <w:t xml:space="preserve">Report:</w:t>
      </w:r>
      <w:r>
        <w:t xml:space="preserve"> </w:t>
      </w:r>
      <w:r>
        <w:t xml:space="preserve">Marseille,</w:t>
      </w:r>
      <w:r>
        <w:t xml:space="preserve"> </w:t>
      </w:r>
      <w:r>
        <w:t xml:space="preserve">France</w:t>
      </w:r>
    </w:p>
    <w:bookmarkStart w:id="26" w:name="Xe9a26b61c6723e2522c5de23eecda1db0aca559"/>
    <w:p>
      <w:pPr>
        <w:pStyle w:val="Heading1"/>
      </w:pPr>
      <w:r>
        <w:t xml:space="preserve">Sales Report: Political Engagement and Voter Acquisition Strategy in Marseille, France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Political Advisory Council, Marseille</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voter acquisition and community engagement performance of our candidate politician, Madame Élise Moreau, across Marseille’s diverse electoral districts in France. The analysis demonstrates a 47% year-on-year increase in verified voter support metrics since January 2023, directly correlating with strategic on-ground campaigning in Marseille. This report confirms that targeted political engagement—not merely traditional advertising—drives sustainable electoral success for our politician in the dynamic urban landscape of France Marseille. Our sales methodology (voter conversion tracking) has proven superior to standard polling models, achieving 92% accuracy in predicting district-level outcomes.</w:t>
      </w:r>
    </w:p>
    <w:bookmarkEnd w:id="20"/>
    <w:bookmarkStart w:id="21" w:name="Xd2b389eaea4baeaee324d1fbd5b8ed63db10ab6"/>
    <w:p>
      <w:pPr>
        <w:pStyle w:val="Heading2"/>
      </w:pPr>
      <w:r>
        <w:t xml:space="preserve">II. Core Sales Metrics: Voter Acquisition Performance</w:t>
      </w:r>
    </w:p>
    <w:p>
      <w:pPr>
        <w:pStyle w:val="FirstParagraph"/>
      </w:pPr>
      <w:r>
        <w:t xml:space="preserve">As a political campaign, our "sales" are measured by voter commitments and community participation—not financial transactions. This report defines success through three pillars:</w:t>
      </w:r>
    </w:p>
    <w:p>
      <w:pPr>
        <w:numPr>
          <w:ilvl w:val="0"/>
          <w:numId w:val="1001"/>
        </w:numPr>
        <w:pStyle w:val="Compact"/>
      </w:pPr>
      <w:r>
        <w:rPr>
          <w:bCs/>
          <w:b/>
        </w:rPr>
        <w:t xml:space="preserve">Voter Conversion Rate:</w:t>
      </w:r>
      <w:r>
        <w:t xml:space="preserve"> </w:t>
      </w:r>
      <w:r>
        <w:t xml:space="preserve">38.7% (up from 26.5% in Q1 2022) across Marseille’s 15 districts</w:t>
      </w:r>
    </w:p>
    <w:p>
      <w:pPr>
        <w:numPr>
          <w:ilvl w:val="0"/>
          <w:numId w:val="1001"/>
        </w:numPr>
        <w:pStyle w:val="Compact"/>
      </w:pPr>
      <w:r>
        <w:rPr>
          <w:bCs/>
          <w:b/>
        </w:rPr>
        <w:t xml:space="preserve">Community Engagement Index:</w:t>
      </w:r>
      <w:r>
        <w:t xml:space="preserve"> </w:t>
      </w:r>
      <w:r>
        <w:t xml:space="preserve">Average of 4.8/5 in citizen feedback surveys (measuring trust in our politician)</w:t>
      </w:r>
    </w:p>
    <w:p>
      <w:pPr>
        <w:numPr>
          <w:ilvl w:val="0"/>
          <w:numId w:val="1001"/>
        </w:numPr>
        <w:pStyle w:val="Compact"/>
      </w:pPr>
      <w:r>
        <w:rPr>
          <w:bCs/>
          <w:b/>
        </w:rPr>
        <w:t xml:space="preserve">Digital Lead Generation:</w:t>
      </w:r>
      <w:r>
        <w:t xml:space="preserve"> </w:t>
      </w:r>
      <w:r>
        <w:t xml:space="preserve">14,300 verified voter pledges through Marseille-specific digital channels</w:t>
      </w:r>
    </w:p>
    <w:p>
      <w:pPr>
        <w:pStyle w:val="FirstParagraph"/>
      </w:pPr>
      <w:r>
        <w:t xml:space="preserve">In Marseille’s historically challenging Vieux-Port district, we achieved a 52% conversion rate—surpassing the regional average by 18%. This success stems from our politician’s hyper-local approach: weekly town halls in neighborhoods like La Joliette and Saint-Victor, where she directly addressed housing shortages and port economy revitalization. Unlike competitors’ generic messaging, this Marseille-focused sales strategy built trust through tangible action.</w:t>
      </w:r>
    </w:p>
    <w:bookmarkEnd w:id="21"/>
    <w:bookmarkStart w:id="22" w:name="Xb50825c2899d2008dea4e538c1f7b7cd96d3563"/>
    <w:p>
      <w:pPr>
        <w:pStyle w:val="Heading2"/>
      </w:pPr>
      <w:r>
        <w:t xml:space="preserve">III. France Marseille: The Strategic Market</w:t>
      </w:r>
    </w:p>
    <w:p>
      <w:pPr>
        <w:pStyle w:val="FirstParagraph"/>
      </w:pPr>
      <w:r>
        <w:t xml:space="preserve">Marseille presents unique political dynamics requiring specialized sales tactics. As France’s second-largest city with 10% of the national immigrant population and a 35% youth unemployment rate, standard campaigns fail here. Our politician’s Sales Report demonstrates how we tailored outreach to Marseille’s reality:</w:t>
      </w:r>
    </w:p>
    <w:p>
      <w:pPr>
        <w:numPr>
          <w:ilvl w:val="0"/>
          <w:numId w:val="1002"/>
        </w:numPr>
        <w:pStyle w:val="Compact"/>
      </w:pPr>
      <w:r>
        <w:rPr>
          <w:bCs/>
          <w:b/>
        </w:rPr>
        <w:t xml:space="preserve">Language &amp; Culture:</w:t>
      </w:r>
      <w:r>
        <w:t xml:space="preserve"> </w:t>
      </w:r>
      <w:r>
        <w:t xml:space="preserve">Campaign materials translated into Arabic, Vietnamese, and Creole—critical for Marseille’s multilingual electorate.</w:t>
      </w:r>
    </w:p>
    <w:p>
      <w:pPr>
        <w:numPr>
          <w:ilvl w:val="0"/>
          <w:numId w:val="1002"/>
        </w:numPr>
        <w:pStyle w:val="Compact"/>
      </w:pPr>
      <w:r>
        <w:rPr>
          <w:bCs/>
          <w:b/>
        </w:rPr>
        <w:t xml:space="preserve">Issue Prioritization:</w:t>
      </w:r>
      <w:r>
        <w:t xml:space="preserve"> </w:t>
      </w:r>
      <w:r>
        <w:t xml:space="preserve">78% of digital ad spend focused on Marseille-specific pain points (e.g., "Port de Bouc infrastructure delays," "Belle de Mai public housing").</w:t>
      </w:r>
    </w:p>
    <w:p>
      <w:pPr>
        <w:numPr>
          <w:ilvl w:val="0"/>
          <w:numId w:val="1002"/>
        </w:numPr>
        <w:pStyle w:val="Compact"/>
      </w:pPr>
      <w:r>
        <w:rPr>
          <w:bCs/>
          <w:b/>
        </w:rPr>
        <w:t xml:space="preserve">On-Ground Presence:</w:t>
      </w:r>
      <w:r>
        <w:t xml:space="preserve"> </w:t>
      </w:r>
      <w:r>
        <w:t xml:space="preserve">Our politician personally visited all 120 municipal districts in Marseille—a rarity among candidates—logging 8,500+ community interactions.</w:t>
      </w:r>
    </w:p>
    <w:p>
      <w:pPr>
        <w:pStyle w:val="FirstParagraph"/>
      </w:pPr>
      <w:r>
        <w:t xml:space="preserve">This localized sales approach directly countered national party narratives. While opponents relied on Parisian policy frameworks, our politician’s Marseille-centric Sales Report shows a 31% higher trust score among working-class voters in the city’s eastern arrondissements (e.g., 13th and 14th districts).</w:t>
      </w:r>
    </w:p>
    <w:bookmarkEnd w:id="22"/>
    <w:bookmarkStart w:id="23" w:name="Xcbc833d58e9dac2d052b0bae93dd1ad6fdfa2ce"/>
    <w:p>
      <w:pPr>
        <w:pStyle w:val="Heading2"/>
      </w:pPr>
      <w:r>
        <w:t xml:space="preserve">IV. Comparative Analysis: Why This Sales Report Stands Apart</w:t>
      </w:r>
    </w:p>
    <w:p>
      <w:pPr>
        <w:pStyle w:val="FirstParagraph"/>
      </w:pPr>
      <w:r>
        <w:t xml:space="preserve">Traditional political sales reports measure only opinion polls. Our methodology, designed specifically for France Marseille’s complex electorate, tracks measurable voter behavior: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Standard Political Report</w:t>
            </w:r>
          </w:p>
        </w:tc>
        <w:tc>
          <w:tcPr/>
          <w:p>
            <w:pPr>
              <w:pStyle w:val="Compact"/>
              <w:jc w:val="left"/>
            </w:pPr>
            <w:r>
              <w:t xml:space="preserve">This Sales Report (Marseille-Focused)</w:t>
            </w:r>
          </w:p>
        </w:tc>
      </w:tr>
      <w:tr>
        <w:tc>
          <w:tcPr/>
          <w:p>
            <w:pPr>
              <w:pStyle w:val="Compact"/>
              <w:jc w:val="left"/>
            </w:pPr>
            <w:r>
              <w:t xml:space="preserve">Voter Commitment Tracking</w:t>
            </w:r>
          </w:p>
        </w:tc>
        <w:tc>
          <w:tcPr/>
          <w:p>
            <w:pPr>
              <w:pStyle w:val="Compact"/>
              <w:jc w:val="left"/>
            </w:pPr>
            <w:r>
              <w:t xml:space="preserve">Self-reported surveys (12% accuracy)</w:t>
            </w:r>
          </w:p>
        </w:tc>
        <w:tc>
          <w:tcPr/>
          <w:p>
            <w:pPr>
              <w:pStyle w:val="Compact"/>
              <w:jc w:val="left"/>
            </w:pPr>
            <w:r>
              <w:t xml:space="preserve">Verified in-person pledge collection + digital ID verification (92% accuracy)</w:t>
            </w:r>
          </w:p>
        </w:tc>
      </w:tr>
      <w:tr>
        <w:tc>
          <w:tcPr/>
          <w:p>
            <w:pPr>
              <w:pStyle w:val="Compact"/>
              <w:jc w:val="left"/>
            </w:pPr>
            <w:r>
              <w:t xml:space="preserve">Response Time to Local Issues</w:t>
            </w:r>
          </w:p>
        </w:tc>
        <w:tc>
          <w:tcPr/>
          <w:p>
            <w:pPr>
              <w:pStyle w:val="Compact"/>
              <w:jc w:val="left"/>
            </w:pPr>
            <w:r>
              <w:t xml:space="preserve">48+ hours</w:t>
            </w:r>
          </w:p>
        </w:tc>
        <w:tc>
          <w:tcPr/>
          <w:p>
            <w:pPr>
              <w:pStyle w:val="Compact"/>
              <w:jc w:val="left"/>
            </w:pPr>
            <w:r>
              <w:t xml:space="preserve">Average 4.2 hours (e.g., rapid response to La Marseillaise neighborhood flooding)</w:t>
            </w:r>
          </w:p>
        </w:tc>
      </w:tr>
      <w:tr>
        <w:tc>
          <w:tcPr/>
          <w:p>
            <w:pPr>
              <w:pStyle w:val="Compact"/>
              <w:jc w:val="left"/>
            </w:pPr>
            <w:r>
              <w:t xml:space="preserve">Community Trust Score</w:t>
            </w:r>
          </w:p>
        </w:tc>
        <w:tc>
          <w:tcPr/>
          <w:p>
            <w:pPr>
              <w:pStyle w:val="Compact"/>
              <w:jc w:val="left"/>
            </w:pPr>
            <w:r>
              <w:t xml:space="preserve">N/A (generic metrics)</w:t>
            </w:r>
          </w:p>
        </w:tc>
        <w:tc>
          <w:tcPr/>
          <w:p>
            <w:pPr>
              <w:pStyle w:val="Compact"/>
              <w:jc w:val="left"/>
            </w:pPr>
            <w:r>
              <w:t xml:space="preserve">4.8/5 in Marseille-specific trust index</w:t>
            </w:r>
          </w:p>
        </w:tc>
      </w:tr>
    </w:tbl>
    <w:p>
      <w:pPr>
        <w:pStyle w:val="BodyText"/>
      </w:pPr>
      <w:r>
        <w:t xml:space="preserve">This precision is why our Sales Report identified the critical Juncture: When Marseille’s fishermen unions protested port closures, our politician’s rapid action secured a 22% vote surge in that community within 72 hours—a direct result of her hands-on engagement.</w:t>
      </w:r>
    </w:p>
    <w:bookmarkEnd w:id="23"/>
    <w:bookmarkStart w:id="24" w:name="X3f5f34bb41211d90286dd8aebf6a5558e9372ac"/>
    <w:p>
      <w:pPr>
        <w:pStyle w:val="Heading2"/>
      </w:pPr>
      <w:r>
        <w:t xml:space="preserve">V. Challenges Overcome in France Marseille</w:t>
      </w:r>
    </w:p>
    <w:p>
      <w:pPr>
        <w:pStyle w:val="FirstParagraph"/>
      </w:pPr>
      <w:r>
        <w:t xml:space="preserve">Despite strong sales performance, Marseille presented unique obstacles requiring adaptive sales strategies:</w:t>
      </w:r>
    </w:p>
    <w:p>
      <w:pPr>
        <w:numPr>
          <w:ilvl w:val="0"/>
          <w:numId w:val="1003"/>
        </w:numPr>
        <w:pStyle w:val="Compact"/>
      </w:pPr>
      <w:r>
        <w:rPr>
          <w:bCs/>
          <w:b/>
        </w:rPr>
        <w:t xml:space="preserve">Media Bias:</w:t>
      </w:r>
      <w:r>
        <w:t xml:space="preserve"> </w:t>
      </w:r>
      <w:r>
        <w:t xml:space="preserve">Local outlets initially dismissed our politician as "untested." Our Sales Report countered this with data: 34% of all campaign events generated organic local news coverage (vs. 9% for competitors).</w:t>
      </w:r>
    </w:p>
    <w:p>
      <w:pPr>
        <w:numPr>
          <w:ilvl w:val="0"/>
          <w:numId w:val="1003"/>
        </w:numPr>
        <w:pStyle w:val="Compact"/>
      </w:pPr>
      <w:r>
        <w:rPr>
          <w:bCs/>
          <w:b/>
        </w:rPr>
        <w:t xml:space="preserve">Competitor Infiltration:</w:t>
      </w:r>
      <w:r>
        <w:t xml:space="preserve"> </w:t>
      </w:r>
      <w:r>
        <w:t xml:space="preserve">Opponents attempted to co-opt Marseille’s identity with false "local" branding. Our sales team deployed a real-time response system, correcting 157 misinformation claims within 24 hours using Marseille-specific historical data.</w:t>
      </w:r>
    </w:p>
    <w:p>
      <w:pPr>
        <w:numPr>
          <w:ilvl w:val="0"/>
          <w:numId w:val="1003"/>
        </w:numPr>
        <w:pStyle w:val="Compact"/>
      </w:pPr>
      <w:r>
        <w:rPr>
          <w:bCs/>
          <w:b/>
        </w:rPr>
        <w:t xml:space="preserve">Economic Anxiety:</w:t>
      </w:r>
      <w:r>
        <w:t xml:space="preserve"> </w:t>
      </w:r>
      <w:r>
        <w:t xml:space="preserve">Rising costs of living in France Marseille caused voter apathy. We transformed this into a sales opportunity: "Marseille Cost of Living Relief Plan" became our top campaign pillar, driving 67% of new voter commitments.</w:t>
      </w:r>
    </w:p>
    <w:bookmarkEnd w:id="24"/>
    <w:bookmarkStart w:id="25" w:name="vi.-conclusion-strategic-recommendations"/>
    <w:p>
      <w:pPr>
        <w:pStyle w:val="Heading2"/>
      </w:pPr>
      <w:r>
        <w:t xml:space="preserve">VI. Conclusion &amp; Strategic Recommendations</w:t>
      </w:r>
    </w:p>
    <w:p>
      <w:pPr>
        <w:pStyle w:val="FirstParagraph"/>
      </w:pPr>
      <w:r>
        <w:t xml:space="preserve">This Sales Report unequivocally proves that success for any politician in France Marseille requires a hyper-localized engagement model. Our candidate’s sales performance—measured by actual voter conversion, not just polls—has positioned her as the frontrunner in Marseille with 58% support (vs. 42% nationally). The data is clear: When politicians prioritize Marseille’s unique identity in their campaign strategy, they achieve sustainable electoral growth.</w:t>
      </w:r>
    </w:p>
    <w:p>
      <w:pPr>
        <w:pStyle w:val="BodyText"/>
      </w:pPr>
      <w:r>
        <w:t xml:space="preserve">We recommend three actions for our politician’s next sales cycle:</w:t>
      </w:r>
    </w:p>
    <w:p>
      <w:pPr>
        <w:numPr>
          <w:ilvl w:val="0"/>
          <w:numId w:val="1004"/>
        </w:numPr>
        <w:pStyle w:val="Compact"/>
      </w:pPr>
      <w:r>
        <w:rPr>
          <w:bCs/>
          <w:b/>
        </w:rPr>
        <w:t xml:space="preserve">Expand Community "Sales" Hubs:</w:t>
      </w:r>
      <w:r>
        <w:t xml:space="preserve"> </w:t>
      </w:r>
      <w:r>
        <w:t xml:space="preserve">Open 5 additional Marseille neighborhood offices to handle voter conversion at point-of-need (target: +25% pledge rate).</w:t>
      </w:r>
    </w:p>
    <w:p>
      <w:pPr>
        <w:numPr>
          <w:ilvl w:val="0"/>
          <w:numId w:val="1004"/>
        </w:numPr>
        <w:pStyle w:val="Compact"/>
      </w:pPr>
      <w:r>
        <w:rPr>
          <w:bCs/>
          <w:b/>
        </w:rPr>
        <w:t xml:space="preserve">Forge Marseille-Specific Partnerships:</w:t>
      </w:r>
      <w:r>
        <w:t xml:space="preserve"> </w:t>
      </w:r>
      <w:r>
        <w:t xml:space="preserve">Collaborate with local NGOs (e.g., La Mairie de Marseille’s youth programs) for co-branded "sales" events—projected 30% trust boost.</w:t>
      </w:r>
    </w:p>
    <w:p>
      <w:pPr>
        <w:numPr>
          <w:ilvl w:val="0"/>
          <w:numId w:val="1004"/>
        </w:numPr>
        <w:pStyle w:val="Compact"/>
      </w:pPr>
      <w:r>
        <w:rPr>
          <w:bCs/>
          <w:b/>
        </w:rPr>
        <w:t xml:space="preserve">Deploy AI-Powered Sales Analytics:</w:t>
      </w:r>
      <w:r>
        <w:t xml:space="preserve"> </w:t>
      </w:r>
      <w:r>
        <w:t xml:space="preserve">Implement real-time sentiment analysis of Marseille social media to adjust messaging within hours (vs. current 72-hour cycle).</w:t>
      </w:r>
    </w:p>
    <w:p>
      <w:pPr>
        <w:pStyle w:val="FirstParagraph"/>
      </w:pPr>
      <w:r>
        <w:t xml:space="preserve">In summary: This Sales Report is not merely a performance review—it is a blueprint for political success in France Marseille. Our politician’s commitment to engaging Marseille as a distinct entity, not just another district, has transformed voter acquisition into an art form. As we enter the final election phase, this data-driven approach ensures that every campaign dollar and hour spent generates measurable electoral value within the city that defines modern France.</w:t>
      </w:r>
    </w:p>
    <w:p>
      <w:pPr>
        <w:pStyle w:val="BodyText"/>
      </w:pPr>
      <w:r>
        <w:rPr>
          <w:bCs/>
          <w:b/>
        </w:rPr>
        <w:t xml:space="preserve">Prepared by:</w:t>
      </w:r>
      <w:r>
        <w:t xml:space="preserve"> </w:t>
      </w:r>
      <w:r>
        <w:t xml:space="preserve">Regional Political Analytics Division</w:t>
      </w:r>
      <w:r>
        <w:br/>
      </w:r>
      <w:r>
        <w:rPr>
          <w:bCs/>
          <w:b/>
        </w:rPr>
        <w:t xml:space="preserve">Campaign Office:</w:t>
      </w:r>
      <w:r>
        <w:t xml:space="preserve"> </w:t>
      </w:r>
      <w:r>
        <w:t xml:space="preserve">22 Rue de la République, Marseille, France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Campaign Performance Report: Marseille, France</dc:title>
  <dc:creator/>
  <dc:language>en</dc:language>
  <cp:keywords/>
  <dcterms:created xsi:type="dcterms:W3CDTF">2026-07-24T03:51:10Z</dcterms:created>
  <dcterms:modified xsi:type="dcterms:W3CDTF">2026-07-24T03:51:10Z</dcterms:modified>
</cp:coreProperties>
</file>

<file path=docProps/custom.xml><?xml version="1.0" encoding="utf-8"?>
<Properties xmlns="http://schemas.openxmlformats.org/officeDocument/2006/custom-properties" xmlns:vt="http://schemas.openxmlformats.org/officeDocument/2006/docPropsVTypes"/>
</file>