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Report:</w:t>
      </w:r>
      <w:r>
        <w:t xml:space="preserve"> </w:t>
      </w:r>
      <w:r>
        <w:t xml:space="preserve">Berlin</w:t>
      </w:r>
      <w:r>
        <w:t xml:space="preserve"> </w:t>
      </w:r>
      <w:r>
        <w:t xml:space="preserve">Campaign</w:t>
      </w:r>
      <w:r>
        <w:t xml:space="preserve"> </w:t>
      </w:r>
      <w:r>
        <w:t xml:space="preserve">Performance</w:t>
      </w:r>
    </w:p>
    <w:bookmarkStart w:id="30" w:name="Xfe38f85882d1b3fdf820fa93fc06f350c154c99"/>
    <w:p>
      <w:pPr>
        <w:pStyle w:val="Heading1"/>
      </w:pPr>
      <w:r>
        <w:t xml:space="preserve">Sales Report: Electoral Campaign Performance of Candidate Markus Vogel for Berlin Senate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Berlin State Election Commission &amp; Political Strategy Division</w:t>
      </w:r>
      <w:r>
        <w:br/>
      </w:r>
      <w:r>
        <w:rPr>
          <w:bCs/>
          <w:b/>
        </w:rPr>
        <w:t xml:space="preserve">Report Type:</w:t>
      </w:r>
      <w:r>
        <w:t xml:space="preserve"> </w:t>
      </w:r>
      <w:r>
        <w:t xml:space="preserve">Quarterly Sales Performance Analysis (Electoral Market)</w:t>
      </w:r>
    </w:p>
    <w:bookmarkStart w:id="20" w:name="i.-executive-summary"/>
    <w:p>
      <w:pPr>
        <w:pStyle w:val="Heading2"/>
      </w:pPr>
      <w:r>
        <w:t xml:space="preserve">I. Executive Summary</w:t>
      </w:r>
    </w:p>
    <w:p>
      <w:pPr>
        <w:pStyle w:val="FirstParagraph"/>
      </w:pPr>
      <w:r>
        <w:t xml:space="preserve">This comprehensive Sales Report documents the electoral campaign performance of Politician Markus Vogel for the Berlin Senate elections. The analysis covers a 12-month sales cycle across Germany's capital city, evaluating voter acquisition, market penetration strategies, and competitive positioning against opposing political products (parties). Key findings indicate Vogel's campaign achieved a 37.8% market share in Berlin—surpassing previous electoral benchmarks by 9.2 percentage points. The campaign successfully positioned the Politician as a high-value solution to Berlin's housing crisis, climate policy gaps, and urban mobility challenges, demonstrating exceptional sales velocity during the final election sprint.</w:t>
      </w:r>
    </w:p>
    <w:bookmarkEnd w:id="20"/>
    <w:bookmarkStart w:id="21" w:name="X2f867ea3f8ff6bcf55f487dbd9777cfdb8fcb5f"/>
    <w:p>
      <w:pPr>
        <w:pStyle w:val="Heading2"/>
      </w:pPr>
      <w:r>
        <w:t xml:space="preserve">II. Market Context: Berlin Electoral Landscape</w:t>
      </w:r>
    </w:p>
    <w:p>
      <w:pPr>
        <w:pStyle w:val="FirstParagraph"/>
      </w:pPr>
      <w:r>
        <w:t xml:space="preserve">The Berlin electoral market (population 3.7 million) represents Germany's most dynamic political battleground in 2023. With voter turnout at 68%—above the national average—the market requires tailored sales strategies for distinct demographic segments:</w:t>
      </w:r>
    </w:p>
    <w:p>
      <w:pPr>
        <w:numPr>
          <w:ilvl w:val="0"/>
          <w:numId w:val="1001"/>
        </w:numPr>
        <w:pStyle w:val="Compact"/>
      </w:pPr>
      <w:r>
        <w:rPr>
          <w:bCs/>
          <w:b/>
        </w:rPr>
        <w:t xml:space="preserve">Urban Centrals (52% of electorate):</w:t>
      </w:r>
      <w:r>
        <w:t xml:space="preserve"> </w:t>
      </w:r>
      <w:r>
        <w:t xml:space="preserve">Young professionals (18-45) prioritizing affordable housing and public transit</w:t>
      </w:r>
    </w:p>
    <w:p>
      <w:pPr>
        <w:numPr>
          <w:ilvl w:val="0"/>
          <w:numId w:val="1001"/>
        </w:numPr>
        <w:pStyle w:val="Compact"/>
      </w:pPr>
      <w:r>
        <w:rPr>
          <w:bCs/>
          <w:b/>
        </w:rPr>
        <w:t xml:space="preserve">District-Based Voters (38%):</w:t>
      </w:r>
      <w:r>
        <w:t xml:space="preserve"> </w:t>
      </w:r>
      <w:r>
        <w:t xml:space="preserve">Families in Neukölln, Prenzlauer Berg; values: school funding, green spaces</w:t>
      </w:r>
    </w:p>
    <w:p>
      <w:pPr>
        <w:numPr>
          <w:ilvl w:val="0"/>
          <w:numId w:val="1001"/>
        </w:numPr>
        <w:pStyle w:val="Compact"/>
      </w:pPr>
      <w:r>
        <w:rPr>
          <w:bCs/>
          <w:b/>
        </w:rPr>
        <w:t xml:space="preserve">Senior Segment (10%):</w:t>
      </w:r>
      <w:r>
        <w:t xml:space="preserve"> </w:t>
      </w:r>
      <w:r>
        <w:t xml:space="preserve">Over 65s; key concerns: pension security and healthcare accessibility</w:t>
      </w:r>
    </w:p>
    <w:p>
      <w:pPr>
        <w:pStyle w:val="FirstParagraph"/>
      </w:pPr>
      <w:r>
        <w:t xml:space="preserve">The Politician's campaign identified these segments as high-potential "customer clusters" requiring personalized sales approaches, distinct from national-level political products.</w:t>
      </w:r>
    </w:p>
    <w:bookmarkEnd w:id="21"/>
    <w:bookmarkStart w:id="24" w:name="iii.-sales-performance-metrics"/>
    <w:p>
      <w:pPr>
        <w:pStyle w:val="Heading2"/>
      </w:pPr>
      <w:r>
        <w:t xml:space="preserve">III. Sales Performance Metrics</w:t>
      </w:r>
    </w:p>
    <w:bookmarkStart w:id="22" w:name="a.-market-penetration-conversion-rates"/>
    <w:p>
      <w:pPr>
        <w:pStyle w:val="Heading3"/>
      </w:pPr>
      <w:r>
        <w:t xml:space="preserve">A. Market Penetration &amp; Conversion Rates</w:t>
      </w:r>
    </w:p>
    <w:p>
      <w:pPr>
        <w:pStyle w:val="FirstParagraph"/>
      </w:pPr>
      <w:r>
        <w:t xml:space="preserve">Metrics</w:t>
      </w:r>
    </w:p>
    <w:p>
      <w:pPr>
        <w:pStyle w:val="BodyText"/>
      </w:pPr>
      <w:r>
        <w:t xml:space="preserve">Vogel Campaign (Current)</w:t>
      </w:r>
    </w:p>
    <w:p>
      <w:pPr>
        <w:pStyle w:val="BodyText"/>
      </w:pPr>
      <w:r>
        <w:t xml:space="preserve">Competitor Benchmark (2021)</w:t>
      </w:r>
    </w:p>
    <w:p>
      <w:pPr>
        <w:pStyle w:val="BodyText"/>
      </w:pPr>
      <w:r>
        <w:t xml:space="preserve">Difference</w:t>
      </w:r>
    </w:p>
    <w:p>
      <w:pPr>
        <w:pStyle w:val="BodyText"/>
      </w:pPr>
      <w:r>
        <w:t xml:space="preserve">Voter Acquisition Cost</w:t>
      </w:r>
    </w:p>
    <w:p>
      <w:pPr>
        <w:pStyle w:val="BodyText"/>
      </w:pPr>
      <w:r>
        <w:t xml:space="preserve">€3.85 per voter</w:t>
      </w:r>
    </w:p>
    <w:p>
      <w:pPr>
        <w:pStyle w:val="BodyText"/>
      </w:pPr>
      <w:r>
        <w:t xml:space="preserve">€4.72 per voter</w:t>
      </w:r>
    </w:p>
    <w:p>
      <w:pPr>
        <w:pStyle w:val="BodyText"/>
      </w:pPr>
      <w:r>
        <w:t xml:space="preserve">-18.4%</w:t>
      </w:r>
    </w:p>
    <w:p>
      <w:pPr>
        <w:pStyle w:val="BodyText"/>
      </w:pPr>
      <w:r>
        <w:t xml:space="preserve">Lead-to-Vote Conversion Rate</w:t>
      </w:r>
    </w:p>
    <w:p>
      <w:pPr>
        <w:pStyle w:val="BodyText"/>
      </w:pPr>
      <w:r>
        <w:t xml:space="preserve">&lt;</w:t>
      </w:r>
    </w:p>
    <w:p>
      <w:pPr>
        <w:pStyle w:val="BodyText"/>
      </w:pPr>
      <w:r>
        <w:t xml:space="preserve">29.7%</w:t>
      </w:r>
    </w:p>
    <w:p>
      <w:pPr>
        <w:pStyle w:val="BodyText"/>
      </w:pPr>
      <w:r>
        <w:t xml:space="preserve">&lt;</w:t>
      </w:r>
    </w:p>
    <w:p>
      <w:pPr>
        <w:pStyle w:val="BodyText"/>
      </w:pPr>
      <w:r>
        <w:t xml:space="preserve">20.3%</w:t>
      </w:r>
    </w:p>
    <w:p>
      <w:pPr>
        <w:pStyle w:val="BodyText"/>
      </w:pPr>
      <w:r>
        <w:t xml:space="preserve">+9.4 pp</w:t>
      </w:r>
    </w:p>
    <w:p>
      <w:pPr>
        <w:pStyle w:val="BodyText"/>
      </w:pPr>
      <w:r>
        <w:t xml:space="preserve">Social Media Engagement Rate</w:t>
      </w:r>
    </w:p>
    <w:p>
      <w:pPr>
        <w:pStyle w:val="BodyText"/>
      </w:pPr>
      <w:r>
        <w:t xml:space="preserve">&lt;</w:t>
      </w:r>
    </w:p>
    <w:p>
      <w:pPr>
        <w:pStyle w:val="BodyText"/>
      </w:pPr>
      <w:r>
        <w:t xml:space="preserve">12.6%</w:t>
      </w:r>
    </w:p>
    <w:p>
      <w:pPr>
        <w:pStyle w:val="BodyText"/>
      </w:pPr>
      <w:r>
        <w:t xml:space="preserve">7.1%</w:t>
      </w:r>
    </w:p>
    <w:p>
      <w:pPr>
        <w:pStyle w:val="BodyText"/>
      </w:pPr>
      <w:r>
        <w:t xml:space="preserve">+5.5 pp</w:t>
      </w:r>
    </w:p>
    <w:p>
      <w:pPr>
        <w:pStyle w:val="BodyText"/>
      </w:pPr>
      <w:r>
        <w:t xml:space="preserve">Key Messaging Resonance (Berlin Focus)</w:t>
      </w:r>
    </w:p>
    <w:p>
      <w:pPr>
        <w:pStyle w:val="BodyText"/>
      </w:pPr>
      <w:r>
        <w:t xml:space="preserve">83% positive sentiment</w:t>
      </w:r>
    </w:p>
    <w:p>
      <w:pPr>
        <w:pStyle w:val="BodyText"/>
      </w:pPr>
      <w:r>
        <w:t xml:space="preserve">&lt;</w:t>
      </w:r>
    </w:p>
    <w:p>
      <w:pPr>
        <w:pStyle w:val="BodyText"/>
      </w:pPr>
      <w:r>
        <w:t xml:space="preserve">64% in 2021</w:t>
      </w:r>
    </w:p>
    <w:p>
      <w:pPr>
        <w:pStyle w:val="BodyText"/>
      </w:pPr>
      <w:r>
        <w:t xml:space="preserve">&lt;</w:t>
      </w:r>
    </w:p>
    <w:p>
      <w:pPr>
        <w:pStyle w:val="BodyText"/>
      </w:pPr>
      <w:r>
        <w:t xml:space="preserve">+19 points</w:t>
      </w:r>
    </w:p>
    <w:bookmarkEnd w:id="22"/>
    <w:bookmarkStart w:id="23" w:name="Xafebd255f861518abc19f2bc90a1a87ba5be0cc"/>
    <w:p>
      <w:pPr>
        <w:pStyle w:val="Heading3"/>
      </w:pPr>
      <w:r>
        <w:t xml:space="preserve">B. Geographic Sales Distribution (Berlin Districts)</w:t>
      </w:r>
    </w:p>
    <w:p>
      <w:pPr>
        <w:pStyle w:val="FirstParagraph"/>
      </w:pPr>
      <w:r>
        <w:t xml:space="preserve">The Politician's campaign achieved exceptional sales velocity in Berlin's most competitive districts:</w:t>
      </w:r>
    </w:p>
    <w:p>
      <w:pPr>
        <w:numPr>
          <w:ilvl w:val="0"/>
          <w:numId w:val="1002"/>
        </w:numPr>
        <w:pStyle w:val="Compact"/>
      </w:pPr>
      <w:r>
        <w:rPr>
          <w:bCs/>
          <w:b/>
        </w:rPr>
        <w:t xml:space="preserve">Neukölln:</w:t>
      </w:r>
      <w:r>
        <w:t xml:space="preserve"> </w:t>
      </w:r>
      <w:r>
        <w:t xml:space="preserve">42% market share (vs. 31% for competitors) – driven by housing policy solutions</w:t>
      </w:r>
    </w:p>
    <w:p>
      <w:pPr>
        <w:numPr>
          <w:ilvl w:val="0"/>
          <w:numId w:val="1002"/>
        </w:numPr>
        <w:pStyle w:val="Compact"/>
      </w:pPr>
      <w:r>
        <w:rPr>
          <w:bCs/>
          <w:b/>
        </w:rPr>
        <w:t xml:space="preserve">Prenzlauer Berg:</w:t>
      </w:r>
      <w:r>
        <w:t xml:space="preserve"> </w:t>
      </w:r>
      <w:r>
        <w:t xml:space="preserve">39% penetration (vs. 27%) – strong youth engagement via digital sales channels</w:t>
      </w:r>
    </w:p>
    <w:p>
      <w:pPr>
        <w:numPr>
          <w:ilvl w:val="0"/>
          <w:numId w:val="1002"/>
        </w:numPr>
        <w:pStyle w:val="Compact"/>
      </w:pPr>
      <w:r>
        <w:rPr>
          <w:bCs/>
          <w:b/>
        </w:rPr>
        <w:t xml:space="preserve">Tempelhof-Schöneberg:</w:t>
      </w:r>
      <w:r>
        <w:t xml:space="preserve"> </w:t>
      </w:r>
      <w:r>
        <w:t xml:space="preserve">45% conversion rate on public transit initiatives (highest in Berlin)</w:t>
      </w:r>
    </w:p>
    <w:bookmarkEnd w:id="23"/>
    <w:bookmarkEnd w:id="24"/>
    <w:bookmarkStart w:id="25" w:name="X9f5716bf61625be8fc0707c4b459ea480e7993d"/>
    <w:p>
      <w:pPr>
        <w:pStyle w:val="Heading2"/>
      </w:pPr>
      <w:r>
        <w:t xml:space="preserve">IV. Sales Strategy Analysis: Why This Politician Won the Market</w:t>
      </w:r>
    </w:p>
    <w:p>
      <w:pPr>
        <w:pStyle w:val="FirstParagraph"/>
      </w:pPr>
      <w:r>
        <w:t xml:space="preserve">The campaign's success stems from three revolutionary sales approaches tailored to Germany Berlin's unique market dynamics:</w:t>
      </w:r>
    </w:p>
    <w:p>
      <w:pPr>
        <w:numPr>
          <w:ilvl w:val="0"/>
          <w:numId w:val="1003"/>
        </w:numPr>
        <w:pStyle w:val="Compact"/>
      </w:pPr>
      <w:r>
        <w:rPr>
          <w:bCs/>
          <w:b/>
        </w:rPr>
        <w:t xml:space="preserve">Hyper-Localized Product Positioning:</w:t>
      </w:r>
      <w:r>
        <w:t xml:space="preserve"> </w:t>
      </w:r>
      <w:r>
        <w:t xml:space="preserve">Instead of generic national policies, the Politician developed district-specific solutions (e.g., "Neukölln Housing Compact" with 15% rent freeze), directly addressing Berlin's most vocal customer pain points. This contrasted sharply with opponents' standardized policy packages.</w:t>
      </w:r>
    </w:p>
    <w:p>
      <w:pPr>
        <w:numPr>
          <w:ilvl w:val="0"/>
          <w:numId w:val="1003"/>
        </w:numPr>
        <w:pStyle w:val="Compact"/>
      </w:pPr>
      <w:r>
        <w:rPr>
          <w:bCs/>
          <w:b/>
        </w:rPr>
        <w:t xml:space="preserve">Digital-First Sales Funnel:</w:t>
      </w:r>
      <w:r>
        <w:t xml:space="preserve"> </w:t>
      </w:r>
      <w:r>
        <w:t xml:space="preserve">Implemented Berlin-specific voter apps for real-time needs reporting (e.g., "FixMyStreet" integration). This reduced acquisition costs by 22% compared to traditional door-knocking methods, appealing to Berlin's tech-savvy electorate.</w:t>
      </w:r>
    </w:p>
    <w:p>
      <w:pPr>
        <w:numPr>
          <w:ilvl w:val="0"/>
          <w:numId w:val="1003"/>
        </w:numPr>
        <w:pStyle w:val="Compact"/>
      </w:pPr>
      <w:r>
        <w:rPr>
          <w:bCs/>
          <w:b/>
        </w:rPr>
        <w:t xml:space="preserve">Community Trust Sales Model:</w:t>
      </w:r>
      <w:r>
        <w:t xml:space="preserve"> </w:t>
      </w:r>
      <w:r>
        <w:t xml:space="preserve">Partnered with 87 Berlin neighborhood associations for co-created sales campaigns (e.g., joint climate action events in Lichtenberg). This built authentic trust—critical for political products where credibility is the primary purchase driver.</w:t>
      </w:r>
    </w:p>
    <w:bookmarkEnd w:id="25"/>
    <w:bookmarkStart w:id="26" w:name="X246ee8dd16e0ca0218dd257355a31bbf24f82b6"/>
    <w:p>
      <w:pPr>
        <w:pStyle w:val="Heading2"/>
      </w:pPr>
      <w:r>
        <w:t xml:space="preserve">V. Competitive Landscape &amp; Market Challenges</w:t>
      </w:r>
    </w:p>
    <w:p>
      <w:pPr>
        <w:pStyle w:val="FirstParagraph"/>
      </w:pPr>
      <w:r>
        <w:t xml:space="preserve">While Vogel's campaign outperformed competitors in sales velocity, Berlin's electoral market presented unique challenges:</w:t>
      </w:r>
    </w:p>
    <w:p>
      <w:pPr>
        <w:numPr>
          <w:ilvl w:val="0"/>
          <w:numId w:val="1004"/>
        </w:numPr>
        <w:pStyle w:val="Compact"/>
      </w:pPr>
      <w:r>
        <w:rPr>
          <w:bCs/>
          <w:b/>
        </w:rPr>
        <w:t xml:space="preserve">Competitor Sales Tactics:</w:t>
      </w:r>
      <w:r>
        <w:t xml:space="preserve"> </w:t>
      </w:r>
      <w:r>
        <w:t xml:space="preserve">Opposing parties used "bundled product" offers (e.g., combining education funding with infrastructure promises), creating confusion. Vogel's campaign countered by simplifying the Politician's core value proposition: "Housing Security + Climate Action = Berlin 2030."</w:t>
      </w:r>
    </w:p>
    <w:p>
      <w:pPr>
        <w:numPr>
          <w:ilvl w:val="0"/>
          <w:numId w:val="1004"/>
        </w:numPr>
        <w:pStyle w:val="Compact"/>
      </w:pPr>
      <w:r>
        <w:rPr>
          <w:bCs/>
          <w:b/>
        </w:rPr>
        <w:t xml:space="preserve">Market Volatility:</w:t>
      </w:r>
      <w:r>
        <w:t xml:space="preserve"> </w:t>
      </w:r>
      <w:r>
        <w:t xml:space="preserve">A sudden energy crisis in September 2023 threatened sales momentum. The campaign rapidly pivoted to emphasize the Politician's emergency energy plan, converting 18% of previously undecided voters within two weeks.</w:t>
      </w:r>
    </w:p>
    <w:p>
      <w:pPr>
        <w:numPr>
          <w:ilvl w:val="0"/>
          <w:numId w:val="1004"/>
        </w:numPr>
        <w:pStyle w:val="Compact"/>
      </w:pPr>
      <w:r>
        <w:rPr>
          <w:bCs/>
          <w:b/>
        </w:rPr>
        <w:t xml:space="preserve">Sales Channel Overlap:</w:t>
      </w:r>
      <w:r>
        <w:t xml:space="preserve"> </w:t>
      </w:r>
      <w:r>
        <w:t xml:space="preserve">Traditional media (TV/radio) penetration was 40% lower than digital channels. The campaign addressed this by creating Berlin-specific podcasts ("Berliner Börsen" with local influencers), increasing cross-channel engagement by 33%.</w:t>
      </w:r>
    </w:p>
    <w:bookmarkEnd w:id="26"/>
    <w:bookmarkStart w:id="27" w:name="vi.-financial-impact-roi"/>
    <w:p>
      <w:pPr>
        <w:pStyle w:val="Heading2"/>
      </w:pPr>
      <w:r>
        <w:t xml:space="preserve">VI. Financial Impact &amp; ROI</w:t>
      </w:r>
    </w:p>
    <w:p>
      <w:pPr>
        <w:pStyle w:val="FirstParagraph"/>
      </w:pPr>
      <w:r>
        <w:t xml:space="preserve">The campaign generated exceptional return on electoral investment:</w:t>
      </w:r>
    </w:p>
    <w:p>
      <w:pPr>
        <w:pStyle w:val="BodyText"/>
      </w:pPr>
      <w:r>
        <w:t xml:space="preserve">Investment Category</w:t>
      </w:r>
    </w:p>
    <w:p>
      <w:pPr>
        <w:pStyle w:val="BodyText"/>
      </w:pPr>
      <w:r>
        <w:t xml:space="preserve">Cost (€)</w:t>
      </w:r>
    </w:p>
    <w:p>
      <w:pPr>
        <w:pStyle w:val="BodyText"/>
      </w:pPr>
      <w:r>
        <w:t xml:space="preserve">Market Return (Voter Value)</w:t>
      </w:r>
    </w:p>
    <w:p>
      <w:pPr>
        <w:pStyle w:val="BodyText"/>
      </w:pPr>
      <w:r>
        <w:t xml:space="preserve">ROI</w:t>
      </w:r>
    </w:p>
    <w:p>
      <w:pPr>
        <w:pStyle w:val="BodyText"/>
      </w:pPr>
      <w:r>
        <w:t xml:space="preserve">Digital Campaigns</w:t>
      </w:r>
    </w:p>
    <w:p>
      <w:pPr>
        <w:pStyle w:val="BodyText"/>
      </w:pPr>
      <w:r>
        <w:t xml:space="preserve">185,000</w:t>
      </w:r>
    </w:p>
    <w:p>
      <w:pPr>
        <w:pStyle w:val="BodyText"/>
      </w:pPr>
      <w:r>
        <w:t xml:space="preserve">628,543</w:t>
      </w:r>
    </w:p>
    <w:p>
      <w:pPr>
        <w:pStyle w:val="BodyText"/>
      </w:pPr>
      <w:r>
        <w:t xml:space="preserve">239%</w:t>
      </w:r>
    </w:p>
    <w:p>
      <w:pPr>
        <w:pStyle w:val="BodyText"/>
      </w:pPr>
      <w:r>
        <w:t xml:space="preserve">Community Events</w:t>
      </w:r>
    </w:p>
    <w:p>
      <w:pPr>
        <w:pStyle w:val="BodyText"/>
      </w:pPr>
      <w:r>
        <w:t xml:space="preserve">&lt;</w:t>
      </w:r>
    </w:p>
    <w:p>
      <w:pPr>
        <w:pStyle w:val="BodyText"/>
      </w:pPr>
      <w:r>
        <w:t xml:space="preserve">97,400</w:t>
      </w:r>
    </w:p>
    <w:p>
      <w:pPr>
        <w:pStyle w:val="BodyText"/>
      </w:pPr>
      <w:r>
        <w:t xml:space="preserve">d 341,721+250%</w:t>
      </w:r>
    </w:p>
    <w:p>
      <w:pPr>
        <w:pStyle w:val="BodyText"/>
      </w:pPr>
      <w:r>
        <w:t xml:space="preserve">District-Specific Policy Development</w:t>
      </w:r>
    </w:p>
    <w:p>
      <w:pPr>
        <w:pStyle w:val="BodyText"/>
      </w:pPr>
      <w:r>
        <w:t xml:space="preserve">218,350</w:t>
      </w:r>
    </w:p>
    <w:p>
      <w:pPr>
        <w:pStyle w:val="BodyText"/>
      </w:pPr>
      <w:r>
        <w:t xml:space="preserve">&lt;</w:t>
      </w:r>
    </w:p>
    <w:p>
      <w:pPr>
        <w:pStyle w:val="BodyText"/>
      </w:pPr>
      <w:r>
        <w:t xml:space="preserve">964,897</w:t>
      </w:r>
    </w:p>
    <w:p>
      <w:pPr>
        <w:pStyle w:val="BodyText"/>
      </w:pPr>
      <w:r>
        <w:t xml:space="preserve">+341%</w:t>
      </w:r>
    </w:p>
    <w:p>
      <w:pPr>
        <w:pStyle w:val="BodyText"/>
      </w:pPr>
      <w:r>
        <w:t xml:space="preserve">Total campaign ROI: 287%—significantly exceeding Berlin's electoral market average of 152%.</w:t>
      </w:r>
    </w:p>
    <w:bookmarkEnd w:id="27"/>
    <w:bookmarkStart w:id="28" w:name="X170046112947a28e6af0246af0bb6d3fabd7815"/>
    <w:p>
      <w:pPr>
        <w:pStyle w:val="Heading2"/>
      </w:pPr>
      <w:r>
        <w:t xml:space="preserve">VII. Future Sales Recommendations for Germany Berlin Market</w:t>
      </w:r>
    </w:p>
    <w:p>
      <w:pPr>
        <w:numPr>
          <w:ilvl w:val="0"/>
          <w:numId w:val="1005"/>
        </w:numPr>
        <w:pStyle w:val="Compact"/>
      </w:pPr>
      <w:r>
        <w:rPr>
          <w:bCs/>
          <w:b/>
        </w:rPr>
        <w:t xml:space="preserve">Scale District-Based Products:</w:t>
      </w:r>
      <w:r>
        <w:t xml:space="preserve"> </w:t>
      </w:r>
      <w:r>
        <w:t xml:space="preserve">Replicate Neukölln's housing solution model across all 13 Berlin districts by Q1 2024.</w:t>
      </w:r>
    </w:p>
    <w:p>
      <w:pPr>
        <w:numPr>
          <w:ilvl w:val="0"/>
          <w:numId w:val="1005"/>
        </w:numPr>
        <w:pStyle w:val="Compact"/>
      </w:pPr>
      <w:r>
        <w:rPr>
          <w:bCs/>
          <w:b/>
        </w:rPr>
        <w:t xml:space="preserve">Enhance Digital Sales Funnels:</w:t>
      </w:r>
      <w:r>
        <w:t xml:space="preserve"> </w:t>
      </w:r>
      <w:r>
        <w:t xml:space="preserve">Integrate AI chatbots for real-time voter query resolution (projected 30% cost reduction).</w:t>
      </w:r>
    </w:p>
    <w:p>
      <w:pPr>
        <w:numPr>
          <w:ilvl w:val="0"/>
          <w:numId w:val="1005"/>
        </w:numPr>
        <w:pStyle w:val="Compact"/>
      </w:pPr>
      <w:r>
        <w:rPr>
          <w:bCs/>
          <w:b/>
        </w:rPr>
        <w:t xml:space="preserve">Cross-Sell Environmental Services:</w:t>
      </w:r>
      <w:r>
        <w:t xml:space="preserve"> </w:t>
      </w:r>
      <w:r>
        <w:t xml:space="preserve">Bundle the Politician's climate action plan with Berlin's upcoming public transit upgrades to increase policy adoption velocity.</w:t>
      </w:r>
    </w:p>
    <w:bookmarkEnd w:id="28"/>
    <w:bookmarkStart w:id="29" w:name="X0c9441ac68418b1f248c913854d5da7e9d933e3"/>
    <w:p>
      <w:pPr>
        <w:pStyle w:val="Heading2"/>
      </w:pPr>
      <w:r>
        <w:t xml:space="preserve">VIII. Conclusion: The Winning Political Product</w:t>
      </w:r>
    </w:p>
    <w:p>
      <w:pPr>
        <w:pStyle w:val="FirstParagraph"/>
      </w:pPr>
      <w:r>
        <w:t xml:space="preserve">This Sales Report confirms that Politician Markus Vogel has successfully redefined electoral market dynamics in Germany Berlin. By treating the electorate as discerning customers with specific pain points (not passive voters), and implementing data-driven sales strategies, Vogel's campaign achieved unprecedented penetration in a highly competitive market. The 37.8% Berlin market share isn't merely a statistic—it represents 142,000 new committed customers (voters) acquired through superior product positioning and customer-centric engagement.</w:t>
      </w:r>
    </w:p>
    <w:p>
      <w:pPr>
        <w:pStyle w:val="BodyText"/>
      </w:pPr>
      <w:r>
        <w:t xml:space="preserve">Crucially, this victory demonstrates that in Germany's most complex political market (Berlin), the highest-performing political product is not defined by party affiliation but by actionable solutions delivered at neighborhood level. As Berlin continues to evolve as a European innovation hub, Vogel's campaign has set a new benchmark for how Politicians should approach sales in modern urban democracies. The next electoral cycle must focus on scaling this customer-centric model to Germany's other major cities.</w:t>
      </w:r>
    </w:p>
    <w:p>
      <w:pPr>
        <w:pStyle w:val="BodyText"/>
      </w:pPr>
      <w:r>
        <w:rPr>
          <w:iCs/>
          <w:i/>
        </w:rPr>
        <w:t xml:space="preserve">Prepared by the Berlin Electoral Analytics Division | Certified Data Compliance: GDPR §17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Report: Berlin Campaign Performance</dc:title>
  <dc:creator/>
  <dc:language>en</dc:language>
  <cp:keywords/>
  <dcterms:created xsi:type="dcterms:W3CDTF">2026-07-23T12:30:21Z</dcterms:created>
  <dcterms:modified xsi:type="dcterms:W3CDTF">2026-07-23T12:30:21Z</dcterms:modified>
</cp:coreProperties>
</file>

<file path=docProps/custom.xml><?xml version="1.0" encoding="utf-8"?>
<Properties xmlns="http://schemas.openxmlformats.org/officeDocument/2006/custom-properties" xmlns:vt="http://schemas.openxmlformats.org/officeDocument/2006/docPropsVTypes"/>
</file>