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Performance</w:t>
      </w:r>
      <w:r>
        <w:t xml:space="preserve"> </w:t>
      </w:r>
      <w:r>
        <w:t xml:space="preserve">Report:</w:t>
      </w:r>
      <w:r>
        <w:t xml:space="preserve"> </w:t>
      </w:r>
      <w:r>
        <w:t xml:space="preserve">Frankfurt,</w:t>
      </w:r>
      <w:r>
        <w:t xml:space="preserve"> </w:t>
      </w:r>
      <w:r>
        <w:t xml:space="preserve">Germany</w:t>
      </w:r>
    </w:p>
    <w:bookmarkStart w:id="35" w:name="X674d794666b45d818f3fc74496820e20e3961bb"/>
    <w:p>
      <w:pPr>
        <w:pStyle w:val="Heading1"/>
      </w:pPr>
      <w:r>
        <w:t xml:space="preserve">2024 Q3 Political Campaign Sales Performance Report: Frankfurt, Germany</w:t>
      </w:r>
    </w:p>
    <w:bookmarkStart w:id="20" w:name="executive-summary"/>
    <w:p>
      <w:pPr>
        <w:pStyle w:val="Heading2"/>
      </w:pPr>
      <w:r>
        <w:t xml:space="preserve">Executive Summary</w:t>
      </w:r>
    </w:p>
    <w:p>
      <w:pPr>
        <w:pStyle w:val="FirstParagraph"/>
      </w:pPr>
      <w:r>
        <w:t xml:space="preserve">This comprehensive sales performance report details the strategic campaign initiatives executed by our political candidate across Frankfurt, Germany during the third quarter of 2024. As a key metropolitan hub within Germany's economic and political landscape, Frankfurt presented unique opportunities for voter engagement, policy advocacy, and community outreach. This document serves as both a performance audit and strategic roadmap for future electoral campaigns in this critical German market.</w:t>
      </w:r>
    </w:p>
    <w:bookmarkEnd w:id="20"/>
    <w:bookmarkStart w:id="21" w:name="X7fa26ec2e3b0447f3b27b29a5ec21bdbf1d4c9f"/>
    <w:p>
      <w:pPr>
        <w:pStyle w:val="Heading2"/>
      </w:pPr>
      <w:r>
        <w:t xml:space="preserve">Market Context: Frankfurt as Strategic Sales Territory</w:t>
      </w:r>
    </w:p>
    <w:p>
      <w:pPr>
        <w:pStyle w:val="FirstParagraph"/>
      </w:pPr>
      <w:r>
        <w:t xml:space="preserve">Frankfurt am Main represents Germany's premier financial center with over 750,000 residents across 12 districts. Its diverse electorate—including international business professionals, university students (Goethe University), and longstanding civic communities—demands nuanced political engagement strategies. Our campaign has positioned itself as the premier solution to Frankfurt's most pressing challenges: sustainable urban development (34% of voter concerns), digital infrastructure modernization (28%), and affordable housing (25%).</w:t>
      </w:r>
    </w:p>
    <w:bookmarkEnd w:id="21"/>
    <w:bookmarkStart w:id="25" w:name="Xe0df9490c2a38e5843cd406b446003131107d1e"/>
    <w:p>
      <w:pPr>
        <w:pStyle w:val="Heading2"/>
      </w:pPr>
      <w:r>
        <w:t xml:space="preserve">Quarterly Sales Metrics: Political Engagement Performance</w:t>
      </w:r>
    </w:p>
    <w:bookmarkStart w:id="22" w:name="voter-acquisition-conversion-rates"/>
    <w:p>
      <w:pPr>
        <w:pStyle w:val="Heading3"/>
      </w:pPr>
      <w:r>
        <w:t xml:space="preserve">1. Voter Acquisition &amp; Conversion Rates</w:t>
      </w:r>
    </w:p>
    <w:p>
      <w:pPr>
        <w:pStyle w:val="FirstParagraph"/>
      </w:pPr>
      <w:r>
        <w:t xml:space="preserve">We achieved a 47% year-over-year increase in verified voter leads within Frankfurt, capturing 18,350 new supporters through targeted digital campaigns and community forums. Our conversion rate from lead to active supporter rose to 68%—significantly above the regional average of 49%. Key drivers included:</w:t>
      </w:r>
    </w:p>
    <w:p>
      <w:pPr>
        <w:numPr>
          <w:ilvl w:val="0"/>
          <w:numId w:val="1001"/>
        </w:numPr>
        <w:pStyle w:val="Compact"/>
      </w:pPr>
      <w:r>
        <w:t xml:space="preserve">Hyper-localized social media campaigns (Instagram/Facebook) targeting each district's specific concerns</w:t>
      </w:r>
    </w:p>
    <w:p>
      <w:pPr>
        <w:numPr>
          <w:ilvl w:val="0"/>
          <w:numId w:val="1001"/>
        </w:numPr>
        <w:pStyle w:val="Compact"/>
      </w:pPr>
      <w:r>
        <w:t xml:space="preserve">23 neighborhood "coffee &amp; policy" events hosted across Frankfurt's 12 districts</w:t>
      </w:r>
    </w:p>
    <w:p>
      <w:pPr>
        <w:numPr>
          <w:ilvl w:val="0"/>
          <w:numId w:val="1001"/>
        </w:numPr>
        <w:pStyle w:val="Compact"/>
      </w:pPr>
      <w:r>
        <w:t xml:space="preserve">Partnerships with Frankfurt University student organizations reaching 12,000+ young voters</w:t>
      </w:r>
    </w:p>
    <w:bookmarkEnd w:id="22"/>
    <w:bookmarkStart w:id="23" w:name="financial-sales-performance"/>
    <w:p>
      <w:pPr>
        <w:pStyle w:val="Heading3"/>
      </w:pPr>
      <w:r>
        <w:t xml:space="preserve">2. Financial Sales Performance</w:t>
      </w:r>
    </w:p>
    <w:p>
      <w:pPr>
        <w:pStyle w:val="FirstParagraph"/>
      </w:pPr>
      <w:r>
        <w:t xml:space="preserve">Demonstrating exceptional fundraising capability within Germany's complex political finance landscape, our campaign generated €875,420 from Frankfurt-based contributions—a 195% increase from Q2. Notable achievements include:</w:t>
      </w:r>
    </w:p>
    <w:p>
      <w:pPr>
        <w:numPr>
          <w:ilvl w:val="0"/>
          <w:numId w:val="1002"/>
        </w:numPr>
        <w:pStyle w:val="Compact"/>
      </w:pPr>
      <w:r>
        <w:t xml:space="preserve">€312,000 secured from small-dollar donors (€10–€50 contributions), representing 68% of total funds</w:t>
      </w:r>
    </w:p>
    <w:p>
      <w:pPr>
        <w:numPr>
          <w:ilvl w:val="0"/>
          <w:numId w:val="1002"/>
        </w:numPr>
        <w:pStyle w:val="Compact"/>
      </w:pPr>
      <w:r>
        <w:t xml:space="preserve">Strategic corporate partnership with Frankfurt's Chamber of Commerce yielding €245,750</w:t>
      </w:r>
    </w:p>
    <w:p>
      <w:pPr>
        <w:numPr>
          <w:ilvl w:val="0"/>
          <w:numId w:val="1002"/>
        </w:numPr>
        <w:pStyle w:val="Compact"/>
      </w:pPr>
      <w:r>
        <w:t xml:space="preserve">First-ever "Frankfurt Climate Action" initiative generating €128,300 through community crowdfunding</w:t>
      </w:r>
    </w:p>
    <w:bookmarkEnd w:id="23"/>
    <w:bookmarkStart w:id="24" w:name="media-influence-sales-pipeline"/>
    <w:p>
      <w:pPr>
        <w:pStyle w:val="Heading3"/>
      </w:pPr>
      <w:r>
        <w:t xml:space="preserve">3. Media &amp; Influence Sales Pipeline</w:t>
      </w:r>
    </w:p>
    <w:p>
      <w:pPr>
        <w:pStyle w:val="FirstParagraph"/>
      </w:pPr>
      <w:r>
        <w:t xml:space="preserve">Our media engagement strategy successfully converted political coverage into measurable voter trust:</w:t>
      </w:r>
    </w:p>
    <w:p>
      <w:pPr>
        <w:numPr>
          <w:ilvl w:val="0"/>
          <w:numId w:val="1003"/>
        </w:numPr>
        <w:pStyle w:val="Compact"/>
      </w:pPr>
      <w:r>
        <w:t xml:space="preserve">67% increase in positive media mentions (Frankfurter Allgemeine, Hessische/Norddeutsche Zeitung)</w:t>
      </w:r>
    </w:p>
    <w:p>
      <w:pPr>
        <w:numPr>
          <w:ilvl w:val="0"/>
          <w:numId w:val="1003"/>
        </w:numPr>
        <w:pStyle w:val="Compact"/>
      </w:pPr>
      <w:r>
        <w:t xml:space="preserve">82% audience recall rate for key policy proposals (vs. 54% industry benchmark)</w:t>
      </w:r>
    </w:p>
    <w:p>
      <w:pPr>
        <w:numPr>
          <w:ilvl w:val="0"/>
          <w:numId w:val="1003"/>
        </w:numPr>
        <w:pStyle w:val="Compact"/>
      </w:pPr>
      <w:r>
        <w:t xml:space="preserve">14 major interviews on Deutschlandfunk and RPR1 Frankfurt radio</w:t>
      </w:r>
    </w:p>
    <w:bookmarkEnd w:id="24"/>
    <w:bookmarkEnd w:id="25"/>
    <w:bookmarkStart w:id="28" w:name="X635c097a1ecc15447ded6b8f0f8c1b4aa9ac94a"/>
    <w:p>
      <w:pPr>
        <w:pStyle w:val="Heading2"/>
      </w:pPr>
      <w:r>
        <w:t xml:space="preserve">Frankfurt-Specific Strategic Initiatives &amp; Results</w:t>
      </w:r>
    </w:p>
    <w:bookmarkStart w:id="26" w:name="X3e3f03312e3fdad827f2348c5d134f53e183143"/>
    <w:p>
      <w:pPr>
        <w:pStyle w:val="Heading3"/>
      </w:pPr>
      <w:r>
        <w:t xml:space="preserve">"Mainhattan Revival" Urban Renewal Campaign</w:t>
      </w:r>
    </w:p>
    <w:p>
      <w:pPr>
        <w:pStyle w:val="FirstParagraph"/>
      </w:pPr>
      <w:r>
        <w:t xml:space="preserve">This flagship initiative addressed Frankfurt's downtown gentrification crisis through a sales pitch of 150+ affordable housing units by 2026. Partnering with local architects and housing cooperatives, we secured commitments from:</w:t>
      </w:r>
    </w:p>
    <w:p>
      <w:pPr>
        <w:numPr>
          <w:ilvl w:val="0"/>
          <w:numId w:val="1004"/>
        </w:numPr>
        <w:pStyle w:val="Compact"/>
      </w:pPr>
      <w:r>
        <w:t xml:space="preserve">Frankfurt City Council: €4.3M for public-private development projects</w:t>
      </w:r>
    </w:p>
    <w:p>
      <w:pPr>
        <w:numPr>
          <w:ilvl w:val="0"/>
          <w:numId w:val="1004"/>
        </w:numPr>
        <w:pStyle w:val="Compact"/>
      </w:pPr>
      <w:r>
        <w:t xml:space="preserve">Deutsche Bank (Headquarters): €1.8M in infrastructure investment</w:t>
      </w:r>
    </w:p>
    <w:p>
      <w:pPr>
        <w:numPr>
          <w:ilvl w:val="0"/>
          <w:numId w:val="1004"/>
        </w:numPr>
        <w:pStyle w:val="Compact"/>
      </w:pPr>
      <w:r>
        <w:t xml:space="preserve">Citizen support: 9,200+ signed petitions for affordable housing ordinance</w:t>
      </w:r>
    </w:p>
    <w:bookmarkEnd w:id="26"/>
    <w:bookmarkStart w:id="27" w:name="Xcaa9cbbd69b6b90e5b97952b1e37c448f5b2466"/>
    <w:p>
      <w:pPr>
        <w:pStyle w:val="Heading3"/>
      </w:pPr>
      <w:r>
        <w:t xml:space="preserve">Digital Infrastructure "Frankfurt 2030" Program</w:t>
      </w:r>
    </w:p>
    <w:p>
      <w:pPr>
        <w:pStyle w:val="FirstParagraph"/>
      </w:pPr>
      <w:r>
        <w:t xml:space="preserve">Targeting Frankfurt's status as Germany's digital gateway, this initiative converted voter concerns into concrete sales outcomes:</w:t>
      </w:r>
    </w:p>
    <w:p>
      <w:pPr>
        <w:numPr>
          <w:ilvl w:val="0"/>
          <w:numId w:val="1005"/>
        </w:numPr>
        <w:pStyle w:val="Compact"/>
      </w:pPr>
      <w:r>
        <w:t xml:space="preserve">78% of voters cited improved broadband access as key campaign priority (per September survey)</w:t>
      </w:r>
    </w:p>
    <w:p>
      <w:pPr>
        <w:numPr>
          <w:ilvl w:val="0"/>
          <w:numId w:val="1005"/>
        </w:numPr>
        <w:pStyle w:val="Compact"/>
      </w:pPr>
      <w:r>
        <w:t xml:space="preserve">Leveraged €2.1M in federal digital infrastructure funds through strategic lobbying</w:t>
      </w:r>
    </w:p>
    <w:p>
      <w:pPr>
        <w:numPr>
          <w:ilvl w:val="0"/>
          <w:numId w:val="1005"/>
        </w:numPr>
        <w:pStyle w:val="Compact"/>
      </w:pPr>
      <w:r>
        <w:t xml:space="preserve">Launched "Frankfurt Digital Hub" platform with 12,600+ registered small businesses</w:t>
      </w:r>
    </w:p>
    <w:bookmarkEnd w:id="27"/>
    <w:bookmarkEnd w:id="28"/>
    <w:bookmarkStart w:id="29" w:name="X8dba1f052f37e0a941b1b80155f6c8437ed1b19"/>
    <w:p>
      <w:pPr>
        <w:pStyle w:val="Heading2"/>
      </w:pPr>
      <w:r>
        <w:t xml:space="preserve">Challenges &amp; Competitive Landscape Analysis</w:t>
      </w:r>
    </w:p>
    <w:p>
      <w:pPr>
        <w:pStyle w:val="FirstParagraph"/>
      </w:pPr>
      <w:r>
        <w:t xml:space="preserve">Despite strong performance, Frankfurt's political sales environment presented unique obstacles:</w:t>
      </w:r>
    </w:p>
    <w:p>
      <w:pPr>
        <w:numPr>
          <w:ilvl w:val="0"/>
          <w:numId w:val="1006"/>
        </w:numPr>
        <w:pStyle w:val="Compact"/>
      </w:pPr>
      <w:r>
        <w:rPr>
          <w:bCs/>
          <w:b/>
        </w:rPr>
        <w:t xml:space="preserve">High Competition:</w:t>
      </w:r>
      <w:r>
        <w:t xml:space="preserve"> </w:t>
      </w:r>
      <w:r>
        <w:t xml:space="preserve">8 major parties contesting Frankfurt's electoral district; our market share grew from 18% to 34% since Q1</w:t>
      </w:r>
    </w:p>
    <w:p>
      <w:pPr>
        <w:numPr>
          <w:ilvl w:val="0"/>
          <w:numId w:val="1006"/>
        </w:numPr>
        <w:pStyle w:val="Compact"/>
      </w:pPr>
      <w:r>
        <w:rPr>
          <w:bCs/>
          <w:b/>
        </w:rPr>
        <w:t xml:space="preserve">Regulatory Hurdles:</w:t>
      </w:r>
      <w:r>
        <w:t xml:space="preserve"> </w:t>
      </w:r>
      <w:r>
        <w:t xml:space="preserve">Complex German campaign finance laws requiring specialized legal oversight (handled by Frankfurt-based political consultancy)</w:t>
      </w:r>
    </w:p>
    <w:p>
      <w:pPr>
        <w:numPr>
          <w:ilvl w:val="0"/>
          <w:numId w:val="1006"/>
        </w:numPr>
        <w:pStyle w:val="Compact"/>
      </w:pPr>
      <w:r>
        <w:rPr>
          <w:bCs/>
          <w:b/>
        </w:rPr>
        <w:t xml:space="preserve">Trust Deficits:</w:t>
      </w:r>
      <w:r>
        <w:t xml:space="preserve"> </w:t>
      </w:r>
      <w:r>
        <w:t xml:space="preserve">Only 29% of Frankfurt voters trust traditional politicians (per DIW Berlin study); our "Transparency Dashboard" initiative increased trust metrics by 31%</w:t>
      </w:r>
    </w:p>
    <w:bookmarkEnd w:id="29"/>
    <w:bookmarkStart w:id="33" w:name="X8259e7d8316aba62ac7d31c58be3acdcee79d1b"/>
    <w:p>
      <w:pPr>
        <w:pStyle w:val="Heading2"/>
      </w:pPr>
      <w:r>
        <w:t xml:space="preserve">Future Sales Strategy: Frankfurt Growth Plan</w:t>
      </w:r>
    </w:p>
    <w:p>
      <w:pPr>
        <w:pStyle w:val="FirstParagraph"/>
      </w:pPr>
      <w:r>
        <w:t xml:space="preserve">Building on Q3's momentum, our 2024-2025 sales roadmap for Frankfurt includes:</w:t>
      </w:r>
    </w:p>
    <w:bookmarkStart w:id="30" w:name="X62366a2d45954a7df5698cb5814aa6c57eae3fb"/>
    <w:p>
      <w:pPr>
        <w:pStyle w:val="Heading3"/>
      </w:pPr>
      <w:r>
        <w:t xml:space="preserve">Phase 1: Community Sales Expansion (Q4 2024)</w:t>
      </w:r>
    </w:p>
    <w:p>
      <w:pPr>
        <w:numPr>
          <w:ilvl w:val="0"/>
          <w:numId w:val="1007"/>
        </w:numPr>
        <w:pStyle w:val="Compact"/>
      </w:pPr>
      <w:r>
        <w:t xml:space="preserve">Launch "Frankfurt Neighborhood Ambassadors" program targeting all 1,178 local community associations</w:t>
      </w:r>
    </w:p>
    <w:p>
      <w:pPr>
        <w:numPr>
          <w:ilvl w:val="0"/>
          <w:numId w:val="1007"/>
        </w:numPr>
        <w:pStyle w:val="Compact"/>
      </w:pPr>
      <w:r>
        <w:t xml:space="preserve">Create mobile voter engagement units visiting all Frankfurt districts twice monthly</w:t>
      </w:r>
    </w:p>
    <w:p>
      <w:pPr>
        <w:numPr>
          <w:ilvl w:val="0"/>
          <w:numId w:val="1007"/>
        </w:numPr>
        <w:pStyle w:val="Compact"/>
      </w:pPr>
      <w:r>
        <w:t xml:space="preserve">Develop German-language digital content for immigrant communities (27% of Frankfurt population)</w:t>
      </w:r>
    </w:p>
    <w:bookmarkEnd w:id="30"/>
    <w:bookmarkStart w:id="31" w:name="X7b7dcf50ec1759f4a45b054412d234c33265931"/>
    <w:p>
      <w:pPr>
        <w:pStyle w:val="Heading3"/>
      </w:pPr>
      <w:r>
        <w:t xml:space="preserve">Phase 2: Corporate Partnership Pipeline (Q1 2025)</w:t>
      </w:r>
    </w:p>
    <w:p>
      <w:pPr>
        <w:numPr>
          <w:ilvl w:val="0"/>
          <w:numId w:val="1008"/>
        </w:numPr>
        <w:pStyle w:val="Compact"/>
      </w:pPr>
      <w:r>
        <w:t xml:space="preserve">Sell "Sustainable Frankfurt" corporate membership package to DAX companies</w:t>
      </w:r>
    </w:p>
    <w:p>
      <w:pPr>
        <w:numPr>
          <w:ilvl w:val="0"/>
          <w:numId w:val="1008"/>
        </w:numPr>
        <w:pStyle w:val="Compact"/>
      </w:pPr>
      <w:r>
        <w:t xml:space="preserve">Develop policy co-creation workshops with Deutsche Börse and E.ON</w:t>
      </w:r>
    </w:p>
    <w:p>
      <w:pPr>
        <w:numPr>
          <w:ilvl w:val="0"/>
          <w:numId w:val="1008"/>
        </w:numPr>
        <w:pStyle w:val="Compact"/>
      </w:pPr>
      <w:r>
        <w:t xml:space="preserve">Target €1.5M in corporate partnerships by Q2 2025</w:t>
      </w:r>
    </w:p>
    <w:bookmarkEnd w:id="31"/>
    <w:bookmarkStart w:id="32" w:name="phase-3-digital-sales-automation-q2-2025"/>
    <w:p>
      <w:pPr>
        <w:pStyle w:val="Heading3"/>
      </w:pPr>
      <w:r>
        <w:t xml:space="preserve">Phase 3: Digital Sales Automation (Q2 2025)</w:t>
      </w:r>
    </w:p>
    <w:p>
      <w:pPr>
        <w:numPr>
          <w:ilvl w:val="0"/>
          <w:numId w:val="1009"/>
        </w:numPr>
        <w:pStyle w:val="Compact"/>
      </w:pPr>
      <w:r>
        <w:t xml:space="preserve">Deploy AI-driven voter sentiment analysis tool tracking Frankfurt-specific concerns</w:t>
      </w:r>
    </w:p>
    <w:p>
      <w:pPr>
        <w:numPr>
          <w:ilvl w:val="0"/>
          <w:numId w:val="1009"/>
        </w:numPr>
        <w:pStyle w:val="Compact"/>
      </w:pPr>
      <w:r>
        <w:t xml:space="preserve">Create "Policy Pitch" platform where citizens submit solutions for campaign consideration</w:t>
      </w:r>
    </w:p>
    <w:p>
      <w:pPr>
        <w:numPr>
          <w:ilvl w:val="0"/>
          <w:numId w:val="1009"/>
        </w:numPr>
        <w:pStyle w:val="Compact"/>
      </w:pPr>
      <w:r>
        <w:t xml:space="preserve">Implement blockchain-based donation verification for maximum transparency</w:t>
      </w:r>
    </w:p>
    <w:bookmarkEnd w:id="32"/>
    <w:bookmarkEnd w:id="33"/>
    <w:bookmarkStart w:id="34" w:name="Xe5b403a76c809384f1876d5753101fc89cffc0a"/>
    <w:p>
      <w:pPr>
        <w:pStyle w:val="Heading2"/>
      </w:pPr>
      <w:r>
        <w:t xml:space="preserve">Conclusion: The Frankfurt Advantage in Political Sales Strategy</w:t>
      </w:r>
    </w:p>
    <w:p>
      <w:pPr>
        <w:pStyle w:val="FirstParagraph"/>
      </w:pPr>
      <w:r>
        <w:t xml:space="preserve">This sales performance report confirms that Frankfurt represents Germany's most valuable political market—combining economic influence, diverse demographics, and high voter engagement potential. Our campaign has successfully translated Frankfurt's unique challenges into compelling political solutions while building a scalable sales model for German politics.</w:t>
      </w:r>
    </w:p>
    <w:p>
      <w:pPr>
        <w:pStyle w:val="BodyText"/>
      </w:pPr>
      <w:r>
        <w:t xml:space="preserve">The Q3 results demonstrate that when political campaigns operate as sophisticated sales organizations with localized strategies, they can achieve remarkable market penetration in Germany's most competitive urban centers. By treating voter relationships as customer journeys and policy development as solution-based selling, our campaign has positioned itself to not just win Frankfurt's election—but to become the standard for political sales performance across Germany.</w:t>
      </w:r>
    </w:p>
    <w:p>
      <w:pPr>
        <w:pStyle w:val="BodyText"/>
      </w:pPr>
      <w:r>
        <w:t xml:space="preserve">As we move toward the 2025 elections, Frankfurt will remain our flagship sales territory. The strategies developed here—hyper-local engagement, transparent financial management, and community co-creation—will form the foundation of our national campaign strategy. Our next quarterly report will detail how these Frankfurt-specific initiatives scale to Germany's broader political landscape.</w:t>
      </w:r>
    </w:p>
    <w:p>
      <w:pPr>
        <w:pStyle w:val="BodyText"/>
      </w:pPr>
      <w:r>
        <w:rPr>
          <w:bCs/>
          <w:b/>
        </w:rPr>
        <w:t xml:space="preserve">Prepared for: Federal Electoral Committee &amp; Frankfurt Campaign Headquarters</w:t>
      </w:r>
    </w:p>
    <w:p>
      <w:pPr>
        <w:pStyle w:val="BodyText"/>
      </w:pPr>
      <w:r>
        <w:rPr>
          <w:bCs/>
          <w:b/>
        </w:rPr>
        <w:t xml:space="preserve">Date: October 15, 2024 | Document ID: FRANKFURT-POL-2024Q3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Performance Report: Frankfurt, Germany</dc:title>
  <dc:creator/>
  <dc:language>en</dc:language>
  <cp:keywords/>
  <dcterms:created xsi:type="dcterms:W3CDTF">2026-07-23T20:12:45Z</dcterms:created>
  <dcterms:modified xsi:type="dcterms:W3CDTF">2026-07-23T20:12:45Z</dcterms:modified>
</cp:coreProperties>
</file>

<file path=docProps/custom.xml><?xml version="1.0" encoding="utf-8"?>
<Properties xmlns="http://schemas.openxmlformats.org/officeDocument/2006/custom-properties" xmlns:vt="http://schemas.openxmlformats.org/officeDocument/2006/docPropsVTypes"/>
</file>