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Political</w:t>
      </w:r>
      <w:r>
        <w:t xml:space="preserve"> </w:t>
      </w:r>
      <w:r>
        <w:t xml:space="preserve">Campaign</w:t>
      </w:r>
      <w:r>
        <w:t xml:space="preserve"> </w:t>
      </w:r>
      <w:r>
        <w:t xml:space="preserve">Performance</w:t>
      </w:r>
      <w:r>
        <w:t xml:space="preserve"> </w:t>
      </w:r>
      <w:r>
        <w:t xml:space="preserve">-</w:t>
      </w:r>
      <w:r>
        <w:t xml:space="preserve"> </w:t>
      </w:r>
      <w:r>
        <w:t xml:space="preserve">Munich,</w:t>
      </w:r>
      <w:r>
        <w:t xml:space="preserve"> </w:t>
      </w:r>
      <w:r>
        <w:t xml:space="preserve">Germany</w:t>
      </w:r>
    </w:p>
    <w:bookmarkStart w:id="30" w:name="X2e75b2c102f645ef4ce82d8b865eca55aebbcbf"/>
    <w:p>
      <w:pPr>
        <w:pStyle w:val="Heading1"/>
      </w:pPr>
      <w:r>
        <w:t xml:space="preserve">COMPREHENSIVE SALES REPORT: POLITICAL CAMPAIGN PERFORMANCE IN MUNICH, GERMANY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Munich City Council &amp; Political Campaign Leadership</w:t>
      </w:r>
      <w:r>
        <w:br/>
      </w:r>
      <w:r>
        <w:rPr>
          <w:bCs/>
          <w:b/>
        </w:rPr>
        <w:t xml:space="preserve">Prepared By:</w:t>
      </w:r>
      <w:r>
        <w:t xml:space="preserve"> </w:t>
      </w:r>
      <w:r>
        <w:t xml:space="preserve">Strategic Policy Analytics Division</w:t>
      </w:r>
    </w:p>
    <w:bookmarkStart w:id="20" w:name="i.-executive-summary"/>
    <w:p>
      <w:pPr>
        <w:pStyle w:val="Heading2"/>
      </w:pPr>
      <w:r>
        <w:t xml:space="preserve">I. Executive Summary</w:t>
      </w:r>
    </w:p>
    <w:p>
      <w:pPr>
        <w:pStyle w:val="FirstParagraph"/>
      </w:pPr>
      <w:r>
        <w:t xml:space="preserve">This Sales Report details the performance metrics of the "Munich Forward" political campaign led by Senator Dr. Elisabeth Vogel during the 2023 Bavarian State Election cycle. The campaign achieved a remarkable 78% voter engagement rate across Munich's electoral districts—exceeding target by 19 percentage points—demonstrating exceptional market penetration for political messaging in Germany's third-largest city. This report quantifies how strategic voter "sales" initiatives transformed abstract policy proposals into tangible public support, establishing new benchmarks for political marketing in German urban centers.</w:t>
      </w:r>
    </w:p>
    <w:bookmarkEnd w:id="20"/>
    <w:bookmarkStart w:id="21" w:name="Xad867a133afe2365c681d2a40c1451589d44559"/>
    <w:p>
      <w:pPr>
        <w:pStyle w:val="Heading2"/>
      </w:pPr>
      <w:r>
        <w:t xml:space="preserve">II. Campaign Objectives &amp; Market Context (Germany Munich Focus)</w:t>
      </w:r>
    </w:p>
    <w:p>
      <w:pPr>
        <w:pStyle w:val="FirstParagraph"/>
      </w:pPr>
      <w:r>
        <w:t xml:space="preserve">The core objective was to secure a majority vote share in Munich's 15 electoral districts while positioning Senator Vogel as the premier candidate for sustainable urban development—a critical sales proposition in Germany's most economically dynamic city. With Munich representing 12.3% of Bavaria's electorate and serving as Germany's innovation hub, this campaign required hyper-localized messaging addressing: (1) affordable housing shortages, (2) green mobility infrastructure, and (3) SME support post-pandemic.</w:t>
      </w:r>
    </w:p>
    <w:p>
      <w:pPr>
        <w:pStyle w:val="BodyText"/>
      </w:pPr>
      <w:r>
        <w:t xml:space="preserve">Market analysis revealed Munich voters prioritized actionable solutions over ideological positioning. Our sales strategy therefore reframed policy as a "product bundle": 60% of campaign materials positioned housing reforms as a "premium urban lifestyle package," while climate initiatives were branded as "Munich Mobility Credits" – creating tangible value perception.</w:t>
      </w:r>
    </w:p>
    <w:bookmarkEnd w:id="21"/>
    <w:bookmarkStart w:id="22" w:name="X71995e600f33f80c18a98cd750caadbf8971e2d"/>
    <w:p>
      <w:pPr>
        <w:pStyle w:val="Heading2"/>
      </w:pPr>
      <w:r>
        <w:t xml:space="preserve">III. Sales Performance Metrics (Quantitative Analysis)</w:t>
      </w:r>
    </w:p>
    <w:p>
      <w:pPr>
        <w:pStyle w:val="FirstParagraph"/>
      </w:pPr>
      <w:r>
        <w:t xml:space="preserve">Key Performance Indicator</w:t>
      </w:r>
    </w:p>
    <w:p>
      <w:pPr>
        <w:pStyle w:val="BodyText"/>
      </w:pPr>
      <w:r>
        <w:t xml:space="preserve">Target</w:t>
      </w:r>
    </w:p>
    <w:p>
      <w:pPr>
        <w:pStyle w:val="BodyText"/>
      </w:pPr>
      <w:r>
        <w:t xml:space="preserve">Actual</w:t>
      </w:r>
    </w:p>
    <w:p>
      <w:pPr>
        <w:pStyle w:val="BodyText"/>
      </w:pPr>
      <w:r>
        <w:t xml:space="preserve">Variance (+/-)</w:t>
      </w:r>
    </w:p>
    <w:p>
      <w:pPr>
        <w:pStyle w:val="BodyText"/>
      </w:pPr>
      <w:r>
        <w:t xml:space="preserve">Voter Engagement Rate (Social Media/Events)</w:t>
      </w:r>
    </w:p>
    <w:p>
      <w:pPr>
        <w:pStyle w:val="BodyText"/>
      </w:pPr>
      <w:r>
        <w:t xml:space="preserve">55%</w:t>
      </w:r>
    </w:p>
    <w:p>
      <w:pPr>
        <w:pStyle w:val="BodyText"/>
      </w:pPr>
      <w:r>
        <w:t xml:space="preserve">78%</w:t>
      </w:r>
    </w:p>
    <w:p>
      <w:pPr>
        <w:pStyle w:val="BodyText"/>
      </w:pPr>
      <w:r>
        <w:t xml:space="preserve">+23pts</w:t>
      </w:r>
    </w:p>
    <w:p>
      <w:pPr>
        <w:pStyle w:val="BodyText"/>
      </w:pPr>
      <w:r>
        <w:t xml:space="preserve">Policy Proposal Acceptance Rate</w:t>
      </w:r>
    </w:p>
    <w:p>
      <w:pPr>
        <w:pStyle w:val="BodyText"/>
      </w:pPr>
      <w:r>
        <w:t xml:space="preserve">60%74%+14pts</w:t>
      </w:r>
    </w:p>
    <w:p>
      <w:pPr>
        <w:pStyle w:val="BodyText"/>
      </w:pPr>
      <w:r>
        <w:t xml:space="preserve">District-Wide Voter Support Growth</w:t>
      </w:r>
    </w:p>
    <w:p>
      <w:pPr>
        <w:pStyle w:val="BodyText"/>
      </w:pPr>
      <w:r>
        <w:t xml:space="preserve">28%+11pts</w:t>
      </w:r>
    </w:p>
    <w:p>
      <w:pPr>
        <w:pStyle w:val="BodyText"/>
      </w:pPr>
      <w:r>
        <w:t xml:space="preserve">Fundraising Efficiency (€ vs. Votes)</w:t>
      </w:r>
    </w:p>
    <w:p>
      <w:pPr>
        <w:pStyle w:val="BodyText"/>
      </w:pPr>
      <w:r>
        <w:t xml:space="preserve">€4.20/vote€3.75/vote-10.7%</w:t>
      </w:r>
    </w:p>
    <w:p>
      <w:pPr>
        <w:pStyle w:val="BodyText"/>
      </w:pPr>
      <w:r>
        <w:rPr>
          <w:bCs/>
          <w:b/>
        </w:rPr>
        <w:t xml:space="preserve">Key Insight:</w:t>
      </w:r>
      <w:r>
        <w:t xml:space="preserve"> </w:t>
      </w:r>
      <w:r>
        <w:t xml:space="preserve">The campaign's 29% higher engagement rate than regional competitors (Bavarian Social Democrats) directly correlates with our "value-based sales approach." By structuring policy proposals as solutions to Munich-specific pain points—e.g., "Munich Mobility Credits" for electric vehicle infrastructure—we converted abstract political concepts into measurable customer benefits.</w:t>
      </w:r>
    </w:p>
    <w:bookmarkEnd w:id="22"/>
    <w:bookmarkStart w:id="26" w:name="Xa8981ceb7e116ff2298165f42db807a18fb78d7"/>
    <w:p>
      <w:pPr>
        <w:pStyle w:val="Heading2"/>
      </w:pPr>
      <w:r>
        <w:t xml:space="preserve">IV. Sales Strategy Breakdown: How We 'Sold' Politics in Germany's Urban Core</w:t>
      </w:r>
    </w:p>
    <w:bookmarkStart w:id="23" w:name="Xa325fceb809141c6b92d537157f06008dfb81e3"/>
    <w:p>
      <w:pPr>
        <w:pStyle w:val="Heading3"/>
      </w:pPr>
      <w:r>
        <w:t xml:space="preserve">A. Hyper-Localized Targeting (Germany Munich Imperative)</w:t>
      </w:r>
    </w:p>
    <w:p>
      <w:pPr>
        <w:pStyle w:val="FirstParagraph"/>
      </w:pPr>
      <w:r>
        <w:t xml:space="preserve">We deployed data analytics to segment Munich into 75 micro-districts based on income, housing type, and commute patterns. For instance:</w:t>
      </w:r>
    </w:p>
    <w:p>
      <w:pPr>
        <w:numPr>
          <w:ilvl w:val="0"/>
          <w:numId w:val="1001"/>
        </w:numPr>
        <w:pStyle w:val="Compact"/>
      </w:pPr>
      <w:r>
        <w:rPr>
          <w:bCs/>
          <w:b/>
        </w:rPr>
        <w:t xml:space="preserve">Maxvorstadt:</w:t>
      </w:r>
      <w:r>
        <w:t xml:space="preserve"> </w:t>
      </w:r>
      <w:r>
        <w:t xml:space="preserve">Focused sales pitch on "affordable senior housing with integrated healthcare" – resonating with 68% of over-65 voters</w:t>
      </w:r>
    </w:p>
    <w:p>
      <w:pPr>
        <w:numPr>
          <w:ilvl w:val="0"/>
          <w:numId w:val="1001"/>
        </w:numPr>
        <w:pStyle w:val="Compact"/>
      </w:pPr>
      <w:r>
        <w:rPr>
          <w:bCs/>
          <w:b/>
        </w:rPr>
        <w:t xml:space="preserve">Pasing:</w:t>
      </w:r>
      <w:r>
        <w:t xml:space="preserve"> </w:t>
      </w:r>
      <w:r>
        <w:t xml:space="preserve">Positioned climate policy as "revenue-generating green zones" (30% business tax reduction for eco-certified SMEs)</w:t>
      </w:r>
    </w:p>
    <w:p>
      <w:pPr>
        <w:numPr>
          <w:ilvl w:val="0"/>
          <w:numId w:val="1001"/>
        </w:numPr>
        <w:pStyle w:val="Compact"/>
      </w:pPr>
      <w:r>
        <w:rPr>
          <w:bCs/>
          <w:b/>
        </w:rPr>
        <w:t xml:space="preserve">Sendling:</w:t>
      </w:r>
      <w:r>
        <w:t xml:space="preserve"> </w:t>
      </w:r>
      <w:r>
        <w:t xml:space="preserve">Targeted young professionals with "Munich Mobility Credits" (25% discount on public transit + bike-sharing)</w:t>
      </w:r>
    </w:p>
    <w:bookmarkEnd w:id="23"/>
    <w:bookmarkStart w:id="24" w:name="b.-digital-sales-funnel-optimization"/>
    <w:p>
      <w:pPr>
        <w:pStyle w:val="Heading3"/>
      </w:pPr>
      <w:r>
        <w:t xml:space="preserve">B. Digital Sales Funnel Optimization</w:t>
      </w:r>
    </w:p>
    <w:p>
      <w:pPr>
        <w:pStyle w:val="FirstParagraph"/>
      </w:pPr>
      <w:r>
        <w:t xml:space="preserve">The campaign implemented a 4-stage digital sales process mirroring B2B enterprise models:</w:t>
      </w:r>
    </w:p>
    <w:p>
      <w:pPr>
        <w:numPr>
          <w:ilvl w:val="0"/>
          <w:numId w:val="1002"/>
        </w:numPr>
        <w:pStyle w:val="Compact"/>
      </w:pPr>
      <w:r>
        <w:rPr>
          <w:bCs/>
          <w:b/>
        </w:rPr>
        <w:t xml:space="preserve">Lead Generation:</w:t>
      </w:r>
      <w:r>
        <w:t xml:space="preserve"> </w:t>
      </w:r>
      <w:r>
        <w:t xml:space="preserve">Localized Instagram ads targeting Munich neighborhoods (5.2M impressions, 18% CTR)</w:t>
      </w:r>
    </w:p>
    <w:p>
      <w:pPr>
        <w:numPr>
          <w:ilvl w:val="0"/>
          <w:numId w:val="1002"/>
        </w:numPr>
        <w:pStyle w:val="Compact"/>
      </w:pPr>
      <w:r>
        <w:rPr>
          <w:bCs/>
          <w:b/>
        </w:rPr>
        <w:t xml:space="preserve">Nurturing:</w:t>
      </w:r>
      <w:r>
        <w:t xml:space="preserve"> </w:t>
      </w:r>
      <w:r>
        <w:t xml:space="preserve">Email sequences with personalized policy calculators (e.g., "Your Housing Savings in Munich")</w:t>
      </w:r>
    </w:p>
    <w:p>
      <w:pPr>
        <w:numPr>
          <w:ilvl w:val="0"/>
          <w:numId w:val="1002"/>
        </w:numPr>
        <w:pStyle w:val="Compact"/>
      </w:pPr>
      <w:r>
        <w:rPr>
          <w:bCs/>
          <w:b/>
        </w:rPr>
        <w:t xml:space="preserve">Conversion:</w:t>
      </w:r>
      <w:r>
        <w:t xml:space="preserve"> </w:t>
      </w:r>
      <w:r>
        <w:t xml:space="preserve">Live town halls via Zoom with real-time Q&amp;A (52% attendance from target demographics)</w:t>
      </w:r>
    </w:p>
    <w:bookmarkEnd w:id="24"/>
    <w:bookmarkStart w:id="25" w:name="c.-policy-product-development"/>
    <w:p>
      <w:pPr>
        <w:pStyle w:val="Heading3"/>
      </w:pPr>
      <w:r>
        <w:t xml:space="preserve">C. Policy 'Product' Development</w:t>
      </w:r>
    </w:p>
    <w:p>
      <w:pPr>
        <w:pStyle w:val="FirstParagraph"/>
      </w:pPr>
      <w:r>
        <w:t xml:space="preserve">Every initiative was designed as a marketable solution:</w:t>
      </w:r>
    </w:p>
    <w:p>
      <w:pPr>
        <w:numPr>
          <w:ilvl w:val="0"/>
          <w:numId w:val="1003"/>
        </w:numPr>
        <w:pStyle w:val="Compact"/>
      </w:pPr>
      <w:r>
        <w:rPr>
          <w:bCs/>
          <w:b/>
        </w:rPr>
        <w:t xml:space="preserve">Green Mobility Package:</w:t>
      </w:r>
      <w:r>
        <w:t xml:space="preserve"> </w:t>
      </w:r>
      <w:r>
        <w:t xml:space="preserve">Bundled €150 monthly public transport subsidy + EV charging credits (sold to 47% of Munich voters)</w:t>
      </w:r>
    </w:p>
    <w:p>
      <w:pPr>
        <w:numPr>
          <w:ilvl w:val="0"/>
          <w:numId w:val="1003"/>
        </w:numPr>
        <w:pStyle w:val="Compact"/>
      </w:pPr>
      <w:r>
        <w:rPr>
          <w:bCs/>
          <w:b/>
        </w:rPr>
        <w:t xml:space="preserve">SME Growth Program:</w:t>
      </w:r>
      <w:r>
        <w:t xml:space="preserve"> </w:t>
      </w:r>
      <w:r>
        <w:t xml:space="preserve">"Munich Startup Accelerator" with tax breaks for local businesses (23% sales penetration in commercial districts)</w:t>
      </w:r>
    </w:p>
    <w:p>
      <w:pPr>
        <w:numPr>
          <w:ilvl w:val="0"/>
          <w:numId w:val="1003"/>
        </w:numPr>
        <w:pStyle w:val="Compact"/>
      </w:pPr>
      <w:r>
        <w:rPr>
          <w:bCs/>
          <w:b/>
        </w:rPr>
        <w:t xml:space="preserve">Housing Initiative:</w:t>
      </w:r>
      <w:r>
        <w:t xml:space="preserve"> </w:t>
      </w:r>
      <w:r>
        <w:t xml:space="preserve">"Munich Homeownership Pathway" – 10-year rent-to-own program (92% acceptance in target housing zones)</w:t>
      </w:r>
    </w:p>
    <w:bookmarkEnd w:id="25"/>
    <w:bookmarkEnd w:id="26"/>
    <w:bookmarkStart w:id="27" w:name="v.-challenges-competitive-landscape"/>
    <w:p>
      <w:pPr>
        <w:pStyle w:val="Heading2"/>
      </w:pPr>
      <w:r>
        <w:t xml:space="preserve">V. Challenges &amp; Competitive Landscape</w:t>
      </w:r>
    </w:p>
    <w:p>
      <w:pPr>
        <w:pStyle w:val="FirstParagraph"/>
      </w:pPr>
      <w:r>
        <w:t xml:space="preserve">Key obstacles included:</w:t>
      </w:r>
    </w:p>
    <w:p>
      <w:pPr>
        <w:numPr>
          <w:ilvl w:val="0"/>
          <w:numId w:val="1004"/>
        </w:numPr>
        <w:pStyle w:val="Compact"/>
      </w:pPr>
      <w:r>
        <w:rPr>
          <w:bCs/>
          <w:b/>
        </w:rPr>
        <w:t xml:space="preserve">Competitor Sales Tactics:</w:t>
      </w:r>
      <w:r>
        <w:t xml:space="preserve"> </w:t>
      </w:r>
      <w:r>
        <w:t xml:space="preserve">CSU's "Traditional Bavarian Stability" campaign failed to localize messaging, resulting in 31% lower engagement vs. our Munich-specific approach</w:t>
      </w:r>
    </w:p>
    <w:p>
      <w:pPr>
        <w:numPr>
          <w:ilvl w:val="0"/>
          <w:numId w:val="1004"/>
        </w:numPr>
        <w:pStyle w:val="Compact"/>
      </w:pPr>
      <w:r>
        <w:rPr>
          <w:bCs/>
          <w:b/>
        </w:rPr>
        <w:t xml:space="preserve">Bureaucratic Hurdles:</w:t>
      </w:r>
      <w:r>
        <w:t xml:space="preserve"> </w:t>
      </w:r>
      <w:r>
        <w:t xml:space="preserve">Navigating Germany's strict electoral finance laws required custom compliance modules (added 8% to campaign cost but prevented disqualification)</w:t>
      </w:r>
    </w:p>
    <w:p>
      <w:pPr>
        <w:numPr>
          <w:ilvl w:val="0"/>
          <w:numId w:val="1004"/>
        </w:numPr>
        <w:pStyle w:val="Compact"/>
      </w:pPr>
      <w:r>
        <w:rPr>
          <w:bCs/>
          <w:b/>
        </w:rPr>
        <w:t xml:space="preserve">Urban Fragmentation:</w:t>
      </w:r>
      <w:r>
        <w:t xml:space="preserve"> </w:t>
      </w:r>
      <w:r>
        <w:t xml:space="preserve">Diverse voter priorities across Munich's 15 districts demanded constant sales message adaptation (handled via real-time sentiment analysis)</w:t>
      </w:r>
    </w:p>
    <w:bookmarkEnd w:id="27"/>
    <w:bookmarkStart w:id="28" w:name="vi.-return-on-investment-analysis"/>
    <w:p>
      <w:pPr>
        <w:pStyle w:val="Heading2"/>
      </w:pPr>
      <w:r>
        <w:t xml:space="preserve">VI. Return on Investment Analysis</w:t>
      </w:r>
    </w:p>
    <w:p>
      <w:pPr>
        <w:pStyle w:val="FirstParagraph"/>
      </w:pPr>
      <w:r>
        <w:t xml:space="preserve">The campaign generated an estimated €87 million in public value through policy implementation potential, calculated as:</w:t>
      </w:r>
    </w:p>
    <w:p>
      <w:pPr>
        <w:numPr>
          <w:ilvl w:val="0"/>
          <w:numId w:val="1005"/>
        </w:numPr>
        <w:pStyle w:val="Compact"/>
      </w:pPr>
      <w:r>
        <w:rPr>
          <w:bCs/>
          <w:b/>
        </w:rPr>
        <w:t xml:space="preserve">Direct ROI:</w:t>
      </w:r>
      <w:r>
        <w:t xml:space="preserve"> </w:t>
      </w:r>
      <w:r>
        <w:t xml:space="preserve">€14.3M in campaign funds generated 19,800 new committed voters (€722 per voter acquired)</w:t>
      </w:r>
    </w:p>
    <w:p>
      <w:pPr>
        <w:numPr>
          <w:ilvl w:val="0"/>
          <w:numId w:val="1005"/>
        </w:numPr>
        <w:pStyle w:val="Compact"/>
      </w:pPr>
      <w:r>
        <w:rPr>
          <w:bCs/>
          <w:b/>
        </w:rPr>
        <w:t xml:space="preserve">Social ROI:</w:t>
      </w:r>
      <w:r>
        <w:t xml:space="preserve"> </w:t>
      </w:r>
      <w:r>
        <w:t xml:space="preserve">Policy acceptance led to 6 pending municipal ordinances (housing, mobility) translating to €52M annual cost savings for Munich citizens</w:t>
      </w:r>
    </w:p>
    <w:p>
      <w:pPr>
        <w:numPr>
          <w:ilvl w:val="0"/>
          <w:numId w:val="1005"/>
        </w:numPr>
        <w:pStyle w:val="Compact"/>
      </w:pPr>
      <w:r>
        <w:rPr>
          <w:bCs/>
          <w:b/>
        </w:rPr>
        <w:t xml:space="preserve">Brand Value:</w:t>
      </w:r>
      <w:r>
        <w:t xml:space="preserve"> </w:t>
      </w:r>
      <w:r>
        <w:t xml:space="preserve">Senator Vogel's approval rating rose 34 points post-campaign—highest among Munich politicians in 10 years</w:t>
      </w:r>
    </w:p>
    <w:bookmarkEnd w:id="28"/>
    <w:bookmarkStart w:id="29" w:name="X07274f37a4fb65239a3ac8cad95094285d018d8"/>
    <w:p>
      <w:pPr>
        <w:pStyle w:val="Heading2"/>
      </w:pPr>
      <w:r>
        <w:t xml:space="preserve">VII. Strategic Recommendations for Future Political Sales Cycles</w:t>
      </w:r>
    </w:p>
    <w:p>
      <w:pPr>
        <w:pStyle w:val="FirstParagraph"/>
      </w:pPr>
      <w:r>
        <w:rPr>
          <w:bCs/>
          <w:b/>
        </w:rPr>
        <w:t xml:space="preserve">For Germany Munich Market:</w:t>
      </w:r>
    </w:p>
    <w:p>
      <w:pPr>
        <w:numPr>
          <w:ilvl w:val="0"/>
          <w:numId w:val="1006"/>
        </w:numPr>
        <w:pStyle w:val="Compact"/>
      </w:pPr>
      <w:r>
        <w:rPr>
          <w:bCs/>
          <w:b/>
        </w:rPr>
        <w:t xml:space="preserve">Implement AI-Powered Voter Persona Mapping:</w:t>
      </w:r>
      <w:r>
        <w:t xml:space="preserve"> </w:t>
      </w:r>
      <w:r>
        <w:t xml:space="preserve">Deploy machine learning to predict policy resonance at district level (projected 15-20% efficiency gain)</w:t>
      </w:r>
    </w:p>
    <w:p>
      <w:pPr>
        <w:numPr>
          <w:ilvl w:val="0"/>
          <w:numId w:val="1006"/>
        </w:numPr>
        <w:pStyle w:val="Compact"/>
      </w:pPr>
      <w:r>
        <w:rPr>
          <w:bCs/>
          <w:b/>
        </w:rPr>
        <w:t xml:space="preserve">Create 'Policy Subscription' Model:</w:t>
      </w:r>
      <w:r>
        <w:t xml:space="preserve"> </w:t>
      </w:r>
      <w:r>
        <w:t xml:space="preserve">Offer tiered policy benefits (e.g., Basic/Munich Plus/Elite packages) for voter retention beyond election</w:t>
      </w:r>
    </w:p>
    <w:p>
      <w:pPr>
        <w:numPr>
          <w:ilvl w:val="0"/>
          <w:numId w:val="1006"/>
        </w:numPr>
        <w:pStyle w:val="Compact"/>
      </w:pPr>
      <w:r>
        <w:rPr>
          <w:bCs/>
          <w:b/>
        </w:rPr>
        <w:t xml:space="preserve">Develop Munich-Specific Metrics Dashboard:</w:t>
      </w:r>
      <w:r>
        <w:t xml:space="preserve"> </w:t>
      </w:r>
      <w:r>
        <w:t xml:space="preserve">Track real-time sales indicators like "Affordable Housing Conversion Rate" instead of generic turnout stats</w:t>
      </w:r>
    </w:p>
    <w:p>
      <w:pPr>
        <w:pStyle w:val="FirstParagraph"/>
      </w:pPr>
      <w:r>
        <w:rPr>
          <w:bCs/>
          <w:b/>
        </w:rPr>
        <w:t xml:space="preserve">Conclusion:</w:t>
      </w:r>
      <w:r>
        <w:t xml:space="preserve"> </w:t>
      </w:r>
      <w:r>
        <w:t xml:space="preserve">This Sales Report confirms that successful political campaigning in Germany's urban centers requires treating voters as customers and policy as a marketable product. Senator Vogel's campaign surpassed all targets by reframing politics as a solution-driven sales process tailored to Munich's unique socio-economic fabric. The 78% engagement rate demonstrates that when German politicians master the art of localized value proposition—rather than generic messaging—they achieve unprecedented voter "conversion" rates in competitive markets like Munich.</w:t>
      </w:r>
    </w:p>
    <w:p>
      <w:pPr>
        <w:pStyle w:val="BodyText"/>
      </w:pPr>
      <w:r>
        <w:rPr>
          <w:bCs/>
          <w:b/>
        </w:rPr>
        <w:t xml:space="preserve">Appendix:</w:t>
      </w:r>
      <w:r>
        <w:t xml:space="preserve"> </w:t>
      </w:r>
      <w:r>
        <w:t xml:space="preserve">Full demographic analysis, policy acceptance heatmaps by district, and competitor sales comparison data available upon request to Munich City Council.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Political Campaign Performance - Munich, Germany</dc:title>
  <dc:creator/>
  <dc:language>en</dc:language>
  <cp:keywords/>
  <dcterms:created xsi:type="dcterms:W3CDTF">2026-07-23T12:31:56Z</dcterms:created>
  <dcterms:modified xsi:type="dcterms:W3CDTF">2026-07-23T12:31:56Z</dcterms:modified>
</cp:coreProperties>
</file>

<file path=docProps/custom.xml><?xml version="1.0" encoding="utf-8"?>
<Properties xmlns="http://schemas.openxmlformats.org/officeDocument/2006/custom-properties" xmlns:vt="http://schemas.openxmlformats.org/officeDocument/2006/docPropsVTypes"/>
</file>