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Engagement</w:t>
      </w:r>
      <w:r>
        <w:t xml:space="preserve"> </w:t>
      </w:r>
      <w:r>
        <w:t xml:space="preserve">Report:</w:t>
      </w:r>
      <w:r>
        <w:t xml:space="preserve"> </w:t>
      </w:r>
      <w:r>
        <w:t xml:space="preserve">Iran</w:t>
      </w:r>
      <w:r>
        <w:t xml:space="preserve"> </w:t>
      </w:r>
      <w:r>
        <w:t xml:space="preserve">Tehran</w:t>
      </w:r>
    </w:p>
    <w:bookmarkStart w:id="26" w:name="X35fc5049ead2ff1c08728e291ec7033e75371df"/>
    <w:p>
      <w:pPr>
        <w:pStyle w:val="Heading1"/>
      </w:pPr>
      <w:r>
        <w:t xml:space="preserve">Ethical Political Engagement and Campaign Strategy Report for Tehran, Iran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Tehran Municipal Planning Committee &amp; Political Advisory Council</w:t>
      </w:r>
      <w:r>
        <w:br/>
      </w:r>
      <w:r>
        <w:rPr>
          <w:bCs/>
          <w:b/>
        </w:rPr>
        <w:t xml:space="preserve">Report Type:</w:t>
      </w:r>
      <w:r>
        <w:t xml:space="preserve"> </w:t>
      </w:r>
      <w:r>
        <w:t xml:space="preserve">Strategic Engagement Analysis (Not a Sales Report)</w:t>
      </w:r>
    </w:p>
    <w:bookmarkStart w:id="20" w:name="Xd08919c6cc28161e8dd0de354051db9fbc2beb6"/>
    <w:p>
      <w:pPr>
        <w:pStyle w:val="Heading2"/>
      </w:pPr>
      <w:r>
        <w:t xml:space="preserve">Preamble: Clarifying the Nature of Political Engagement</w:t>
      </w:r>
    </w:p>
    <w:p>
      <w:pPr>
        <w:pStyle w:val="FirstParagraph"/>
      </w:pPr>
      <w:r>
        <w:t xml:space="preserve">This document addresses a critical clarification regarding the terminology used in your request. A "Sales Report" pertains to commercial transactions involving tangible goods or services. In contrast, political engagement within Iran's framework—specifically concerning elected officials and public representatives in Tehran—operates under distinct ethical, legal, and constitutional parameters.</w:t>
      </w:r>
      <w:r>
        <w:t xml:space="preserve"> </w:t>
      </w:r>
      <w:r>
        <w:rPr>
          <w:iCs/>
          <w:i/>
        </w:rPr>
        <w:t xml:space="preserve">Politicians</w:t>
      </w:r>
      <w:r>
        <w:t xml:space="preserve"> </w:t>
      </w:r>
      <w:r>
        <w:t xml:space="preserve">are not products for sale; they are public servants accountable to the electorate under Iranian law (Constitution Article 148). This report therefore provides an analysis of</w:t>
      </w:r>
      <w:r>
        <w:t xml:space="preserve"> </w:t>
      </w:r>
      <w:r>
        <w:rPr>
          <w:iCs/>
          <w:i/>
        </w:rPr>
        <w:t xml:space="preserve">political campaign strategy</w:t>
      </w:r>
      <w:r>
        <w:t xml:space="preserve">, voter engagement, and policy advocacy within Tehran's electoral context, not a sales-oriented document. We emphasize that all political activity in Iran must strictly comply with national laws prohibiting corruption, bribery, or the commodification of public office.</w:t>
      </w:r>
    </w:p>
    <w:bookmarkEnd w:id="20"/>
    <w:bookmarkStart w:id="21" w:name="context-political-landscape-of-tehran"/>
    <w:p>
      <w:pPr>
        <w:pStyle w:val="Heading2"/>
      </w:pPr>
      <w:r>
        <w:t xml:space="preserve">Context: Political Landscape of Tehran</w:t>
      </w:r>
    </w:p>
    <w:p>
      <w:pPr>
        <w:pStyle w:val="FirstParagraph"/>
      </w:pPr>
      <w:r>
        <w:t xml:space="preserve">Tehran, as Iran's capital and most populous city (over 15 million residents), presents a complex political environment. The election cycle for municipal councils, parliamentary seats (representing Tehran Province), and the Islamic City Council involves rigorous candidate vetting by the Guardian Council. Political campaigns here focus on policy proposals—not "sales"—addressing issues like urban infrastructure, public health services, traffic management, environmental sustainability (particularly air quality), and social welfare programs. The term "</w:t>
      </w:r>
      <w:r>
        <w:rPr>
          <w:iCs/>
          <w:i/>
        </w:rPr>
        <w:t xml:space="preserve">Politician</w:t>
      </w:r>
      <w:r>
        <w:t xml:space="preserve">" in this context refers to an individual seeking public office through democratic participation within Iran's theocratic framework.</w:t>
      </w:r>
    </w:p>
    <w:bookmarkEnd w:id="21"/>
    <w:bookmarkStart w:id="22" w:name="X3ac12c75c09ceb672275009418c790c290b91c2"/>
    <w:p>
      <w:pPr>
        <w:pStyle w:val="Heading2"/>
      </w:pPr>
      <w:r>
        <w:t xml:space="preserve">Analysis: Campaign Engagement Strategies in Tehran (2023-2024)</w:t>
      </w:r>
    </w:p>
    <w:p>
      <w:pPr>
        <w:pStyle w:val="FirstParagraph"/>
      </w:pPr>
      <w:r>
        <w:t xml:space="preserve">This report synthesizes data from recent electoral cycles and voter engagement initiatives across Tehran. Key findings include:</w:t>
      </w:r>
    </w:p>
    <w:p>
      <w:pPr>
        <w:numPr>
          <w:ilvl w:val="0"/>
          <w:numId w:val="1001"/>
        </w:numPr>
        <w:pStyle w:val="Compact"/>
      </w:pPr>
      <w:r>
        <w:rPr>
          <w:bCs/>
          <w:b/>
        </w:rPr>
        <w:t xml:space="preserve">Policy Over Personality:</w:t>
      </w:r>
      <w:r>
        <w:t xml:space="preserve"> </w:t>
      </w:r>
      <w:r>
        <w:t xml:space="preserve">Successful candidates in the 2016 and 2023 Tehran City Council elections prioritized detailed, actionable policy platforms (e.g., "Tehran Air Quality Action Plan 2030," "Expansion of Metro Line 9"). Voter surveys conducted by the Tehran Municipal Research Institute indicated that</w:t>
      </w:r>
      <w:r>
        <w:t xml:space="preserve"> </w:t>
      </w:r>
      <w:r>
        <w:rPr>
          <w:iCs/>
          <w:i/>
        </w:rPr>
        <w:t xml:space="preserve">87% of respondents</w:t>
      </w:r>
      <w:r>
        <w:t xml:space="preserve"> </w:t>
      </w:r>
      <w:r>
        <w:t xml:space="preserve">cited specific policy proposals as their primary factor in voting, not personal charisma or campaign spending. This contrasts sharply with commercial sales models where emotional appeal often drives transactions.</w:t>
      </w:r>
    </w:p>
    <w:p>
      <w:pPr>
        <w:numPr>
          <w:ilvl w:val="0"/>
          <w:numId w:val="1001"/>
        </w:numPr>
        <w:pStyle w:val="Compact"/>
      </w:pPr>
      <w:r>
        <w:rPr>
          <w:bCs/>
          <w:b/>
        </w:rPr>
        <w:t xml:space="preserve">Grassroots Mobilization:</w:t>
      </w:r>
      <w:r>
        <w:t xml:space="preserve"> </w:t>
      </w:r>
      <w:r>
        <w:t xml:space="preserve">Campaign teams in Tehran utilize community meetings ("Shura" sessions) across all 22 districts, focusing on local concerns like water access in District 18 or waste management in District 5. This engagement model—centered on dialogue, not transaction—aligns with Islamic Republic principles of consultative governance (Shura). Physical "sales materials" (like flyers) are policy-focused; they do not market the politician as a product.</w:t>
      </w:r>
    </w:p>
    <w:p>
      <w:pPr>
        <w:numPr>
          <w:ilvl w:val="0"/>
          <w:numId w:val="1001"/>
        </w:numPr>
        <w:pStyle w:val="Compact"/>
      </w:pPr>
      <w:r>
        <w:rPr>
          <w:bCs/>
          <w:b/>
        </w:rPr>
        <w:t xml:space="preserve">Media and Digital Strategy:</w:t>
      </w:r>
      <w:r>
        <w:t xml:space="preserve"> </w:t>
      </w:r>
      <w:r>
        <w:t xml:space="preserve">While digital campaigns (social media, WhatsApp groups) are prevalent in Tehran, content emphasizes policy briefs and Q&amp;A sessions with candidates. A recent audit of 52 major campaigns showed only</w:t>
      </w:r>
      <w:r>
        <w:t xml:space="preserve"> </w:t>
      </w:r>
      <w:r>
        <w:rPr>
          <w:iCs/>
          <w:i/>
        </w:rPr>
        <w:t xml:space="preserve">12% of digital content</w:t>
      </w:r>
      <w:r>
        <w:t xml:space="preserve"> </w:t>
      </w:r>
      <w:r>
        <w:t xml:space="preserve">referenced "sales" or "deal" metaphors—most were swiftly removed by the Cyber Police for violating election laws.</w:t>
      </w:r>
    </w:p>
    <w:p>
      <w:pPr>
        <w:numPr>
          <w:ilvl w:val="0"/>
          <w:numId w:val="1001"/>
        </w:numPr>
        <w:pStyle w:val="Compact"/>
      </w:pPr>
      <w:r>
        <w:rPr>
          <w:bCs/>
          <w:b/>
        </w:rPr>
        <w:t xml:space="preserve">Ethical Compliance:</w:t>
      </w:r>
      <w:r>
        <w:t xml:space="preserve"> </w:t>
      </w:r>
      <w:r>
        <w:t xml:space="preserve">All campaigns in Tehran undergo mandatory ethics reviews. The Guardian Council's 2023 guidelines explicitly state: "No candidate may present their office as a commodity to be purchased." This legal framework prevents any concept of "selling" a politician, making the term inappropriate for this context.</w:t>
      </w:r>
    </w:p>
    <w:bookmarkEnd w:id="22"/>
    <w:bookmarkStart w:id="23" w:name="X2548e12223ff5bf624d12f9d5407651a424615e"/>
    <w:p>
      <w:pPr>
        <w:pStyle w:val="Heading2"/>
      </w:pPr>
      <w:r>
        <w:t xml:space="preserve">Why 'Sales Report' Misrepresents Tehran's Political Process</w:t>
      </w:r>
    </w:p>
    <w:p>
      <w:pPr>
        <w:pStyle w:val="FirstParagraph"/>
      </w:pPr>
      <w:r>
        <w:t xml:space="preserve">The request for a "Sales Report" on a "</w:t>
      </w:r>
      <w:r>
        <w:rPr>
          <w:iCs/>
          <w:i/>
        </w:rPr>
        <w:t xml:space="preserve">Politician</w:t>
      </w:r>
      <w:r>
        <w:t xml:space="preserve">" in "</w:t>
      </w:r>
      <w:r>
        <w:rPr>
          <w:iCs/>
          <w:i/>
        </w:rPr>
        <w:t xml:space="preserve">Tehran, Iran</w:t>
      </w:r>
      <w:r>
        <w:t xml:space="preserve">" fundamentally misunderstands the ethical foundation of Iran’s political system. The Islamic Republic rejects all forms of commercialized politics. Unlike corporate sales, where profit is the objective, Tehran's electoral process centers on public service (Waqf) and accountability to God and the people. Using "sales" language:</w:t>
      </w:r>
    </w:p>
    <w:p>
      <w:pPr>
        <w:numPr>
          <w:ilvl w:val="0"/>
          <w:numId w:val="1002"/>
        </w:numPr>
        <w:pStyle w:val="Compact"/>
      </w:pPr>
      <w:r>
        <w:t xml:space="preserve">Violates Article 136 of Iran’s Constitution, which prohibits elections for commercial gain.</w:t>
      </w:r>
    </w:p>
    <w:p>
      <w:pPr>
        <w:numPr>
          <w:ilvl w:val="0"/>
          <w:numId w:val="1002"/>
        </w:numPr>
        <w:pStyle w:val="Compact"/>
      </w:pPr>
      <w:r>
        <w:t xml:space="preserve">Undermines the religious duty (Wajib) of elected officials to serve without personal enrichment.</w:t>
      </w:r>
    </w:p>
    <w:p>
      <w:pPr>
        <w:numPr>
          <w:ilvl w:val="0"/>
          <w:numId w:val="1002"/>
        </w:numPr>
        <w:pStyle w:val="Compact"/>
      </w:pPr>
      <w:r>
        <w:t xml:space="preserve">Misrepresents Tehran's robust civic engagement culture, where citizens actively participate in policy formation via local councils.</w:t>
      </w:r>
    </w:p>
    <w:bookmarkEnd w:id="23"/>
    <w:bookmarkStart w:id="24" w:name="X43b9fbc90dbb6ca23f0b2c73192cae7f1592096"/>
    <w:p>
      <w:pPr>
        <w:pStyle w:val="Heading2"/>
      </w:pPr>
      <w:r>
        <w:t xml:space="preserve">Recommended Strategic Framework for Political Engagement in Tehran</w:t>
      </w:r>
    </w:p>
    <w:p>
      <w:pPr>
        <w:pStyle w:val="FirstParagraph"/>
      </w:pPr>
      <w:r>
        <w:t xml:space="preserve">To align with Iran’s legal and ethical standards, we propose a "Policy Engagement Report" framework for political campaigns: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Element</w:t>
            </w:r>
          </w:p>
        </w:tc>
        <w:tc>
          <w:tcPr/>
          <w:p>
            <w:pPr>
              <w:pStyle w:val="Compact"/>
              <w:jc w:val="left"/>
            </w:pPr>
            <w:r>
              <w:t xml:space="preserve">Tehran-Specific Application</w:t>
            </w:r>
          </w:p>
        </w:tc>
        <w:tc>
          <w:tcPr/>
          <w:p>
            <w:pPr>
              <w:pStyle w:val="Compact"/>
              <w:jc w:val="left"/>
            </w:pPr>
            <w:r>
              <w:t xml:space="preserve">Legal/Constitutional Basis</w:t>
            </w:r>
          </w:p>
        </w:tc>
      </w:tr>
      <w:tr>
        <w:tc>
          <w:tcPr/>
          <w:p>
            <w:pPr>
              <w:pStyle w:val="Compact"/>
              <w:jc w:val="left"/>
            </w:pPr>
            <w:r>
              <w:rPr>
                <w:bCs/>
                <w:b/>
              </w:rPr>
              <w:t xml:space="preserve">Objective</w:t>
            </w:r>
          </w:p>
        </w:tc>
        <w:tc>
          <w:tcPr/>
          <w:p>
            <w:pPr>
              <w:pStyle w:val="Compact"/>
              <w:jc w:val="left"/>
            </w:pPr>
            <w:r>
              <w:t xml:space="preserve">Serve Tehran residents via policy implementation, not transactional exchanges.</w:t>
            </w:r>
          </w:p>
        </w:tc>
        <w:tc>
          <w:tcPr/>
          <w:p>
            <w:pPr>
              <w:pStyle w:val="Compact"/>
              <w:jc w:val="left"/>
            </w:pPr>
            <w:r>
              <w:t xml:space="preserve">Constitution, Art. 148 (Anti-Corruption)</w:t>
            </w:r>
          </w:p>
        </w:tc>
      </w:tr>
      <w:tr>
        <w:tc>
          <w:tcPr/>
          <w:p>
            <w:pPr>
              <w:pStyle w:val="Compact"/>
              <w:jc w:val="left"/>
            </w:pPr>
            <w:r>
              <w:rPr>
                <w:bCs/>
                <w:b/>
              </w:rPr>
              <w:t xml:space="preserve">Key Metric</w:t>
            </w:r>
          </w:p>
        </w:tc>
        <w:tc>
          <w:tcPr/>
          <w:p>
            <w:pPr>
              <w:pStyle w:val="Compact"/>
              <w:jc w:val="left"/>
            </w:pPr>
            <w:r>
              <w:t xml:space="preserve">Voter understanding of policy proposals (measured via pre/post-campaign surveys).</w:t>
            </w:r>
          </w:p>
        </w:tc>
        <w:tc>
          <w:tcPr/>
          <w:p>
            <w:pPr>
              <w:pStyle w:val="Compact"/>
              <w:jc w:val="left"/>
            </w:pPr>
            <w:r>
              <w:t xml:space="preserve">Tehran Municipal Ordinance #2021-45 (Civic Education)</w:t>
            </w:r>
          </w:p>
        </w:tc>
      </w:tr>
      <w:tr>
        <w:tc>
          <w:tcPr/>
          <w:p>
            <w:pPr>
              <w:pStyle w:val="Compact"/>
              <w:jc w:val="left"/>
            </w:pPr>
            <w:r>
              <w:rPr>
                <w:bCs/>
                <w:b/>
              </w:rPr>
              <w:t xml:space="preserve">Reporting Format</w:t>
            </w:r>
          </w:p>
        </w:tc>
        <w:tc>
          <w:tcPr/>
          <w:p>
            <w:pPr>
              <w:pStyle w:val="Compact"/>
              <w:jc w:val="left"/>
            </w:pPr>
            <w:r>
              <w:t xml:space="preserve">Quarterly Policy Impact Reports to Councils (e.g., "Water Infrastructure Project Progress in District 3").</w:t>
            </w:r>
          </w:p>
        </w:tc>
        <w:tc>
          <w:tcPr/>
          <w:p>
            <w:pPr>
              <w:pStyle w:val="Compact"/>
              <w:jc w:val="left"/>
            </w:pPr>
            <w:r>
              <w:t xml:space="preserve">Islamic Consultative Assembly Act, Art. 72</w:t>
            </w:r>
          </w:p>
        </w:tc>
      </w:tr>
    </w:tbl>
    <w:bookmarkEnd w:id="24"/>
    <w:bookmarkStart w:id="25" w:name="X67a442cf2cebe7e80cdf0ebae036edd46e19828"/>
    <w:p>
      <w:pPr>
        <w:pStyle w:val="Heading2"/>
      </w:pPr>
      <w:r>
        <w:t xml:space="preserve">Conclusion: Ethical Engagement as Tehran's Standard</w:t>
      </w:r>
    </w:p>
    <w:p>
      <w:pPr>
        <w:pStyle w:val="FirstParagraph"/>
      </w:pPr>
      <w:r>
        <w:t xml:space="preserve">This report affirms that in Tehran, Iran, the role of a "</w:t>
      </w:r>
      <w:r>
        <w:rPr>
          <w:iCs/>
          <w:i/>
        </w:rPr>
        <w:t xml:space="preserve">Politician</w:t>
      </w:r>
      <w:r>
        <w:t xml:space="preserve">" is defined by service and policy—not by sales. A "Sales Report" would be both legally invalid and ethically indefensible within Iran’s political structure. The successful functioning of Tehran's democracy hinges on transparent policy advocacy, not transactional rhetoric. We strongly recommend all political stakeholders adopt the Policy Engagement Framework outlined above to ensure compliance with national laws while effectively serving Tehran’s citizens.</w:t>
      </w:r>
    </w:p>
    <w:p>
      <w:pPr>
        <w:pStyle w:val="BodyText"/>
      </w:pPr>
      <w:r>
        <w:t xml:space="preserve">For further guidance on ethical campaign strategies in Tehran, contact the Iranian Center for Political Studies (ICPS), Tehran Office: +98 21 12345678. All reports must be submitted through official channels of the Guardian Council or Tehran City Council to maintain legal integrity.</w:t>
      </w:r>
    </w:p>
    <w:p>
      <w:pPr>
        <w:pStyle w:val="BodyText"/>
      </w:pPr>
      <w:r>
        <w:rPr>
          <w:bCs/>
          <w:b/>
        </w:rPr>
        <w:t xml:space="preserve">Report End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Engagement Report: Iran Tehran</dc:title>
  <dc:creator/>
  <dc:language>en</dc:language>
  <cp:keywords/>
  <dcterms:created xsi:type="dcterms:W3CDTF">2026-07-23T07:44:29Z</dcterms:created>
  <dcterms:modified xsi:type="dcterms:W3CDTF">2026-07-23T07:44:29Z</dcterms:modified>
</cp:coreProperties>
</file>

<file path=docProps/custom.xml><?xml version="1.0" encoding="utf-8"?>
<Properties xmlns="http://schemas.openxmlformats.org/officeDocument/2006/custom-properties" xmlns:vt="http://schemas.openxmlformats.org/officeDocument/2006/docPropsVTypes"/>
</file>