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Iraq</w:t>
      </w:r>
      <w:r>
        <w:t xml:space="preserve"> </w:t>
      </w:r>
      <w:r>
        <w:t xml:space="preserve">Baghdad</w:t>
      </w:r>
      <w:r>
        <w:t xml:space="preserve"> </w:t>
      </w:r>
      <w:r>
        <w:t xml:space="preserve">Political</w:t>
      </w:r>
      <w:r>
        <w:t xml:space="preserve"> </w:t>
      </w:r>
      <w:r>
        <w:t xml:space="preserve">Engagement</w:t>
      </w:r>
      <w:r>
        <w:t xml:space="preserve"> </w:t>
      </w:r>
      <w:r>
        <w:t xml:space="preserve">Sales</w:t>
      </w:r>
      <w:r>
        <w:t xml:space="preserve"> </w:t>
      </w:r>
      <w:r>
        <w:t xml:space="preserve">Report</w:t>
      </w:r>
    </w:p>
    <w:bookmarkStart w:id="28" w:name="X5e6a9e51229f7c39979e543c6d0ce8553c37e65"/>
    <w:p>
      <w:pPr>
        <w:pStyle w:val="Heading1"/>
      </w:pPr>
      <w:r>
        <w:t xml:space="preserve">Iraq Baghdad Political Engagement Sales Report</w:t>
      </w:r>
    </w:p>
    <w:bookmarkStart w:id="20" w:name="executive-summary"/>
    <w:p>
      <w:pPr>
        <w:pStyle w:val="Heading2"/>
      </w:pPr>
      <w:r>
        <w:t xml:space="preserve">Executive Summary</w:t>
      </w:r>
    </w:p>
    <w:p>
      <w:pPr>
        <w:pStyle w:val="FirstParagraph"/>
      </w:pPr>
      <w:r>
        <w:t xml:space="preserve">This document serves as the official Sales Report for political engagement initiatives conducted by local representatives within the Baghdad metropolitan area. Unlike conventional sales metrics, this report evaluates the efficacy of political advocacy, constituent outreach, and policy proposal "sales" in Iraq Baghdad's unique socio-political landscape. The primary objective is to quantify how effectively Politicians translate promises into actionable community benefits while navigating Iraq's complex governance environment. All data presented reflects engagement activities across 12 key districts in Baghdad from Q1 to Q3 2023, demonstrating a 37% increase in measurable constituent interaction compared to the previous year.</w:t>
      </w:r>
    </w:p>
    <w:bookmarkEnd w:id="20"/>
    <w:bookmarkStart w:id="21" w:name="Xde7241055ce378d9fbfb09e8d5d28134ed53ea5"/>
    <w:p>
      <w:pPr>
        <w:pStyle w:val="Heading2"/>
      </w:pPr>
      <w:r>
        <w:t xml:space="preserve">Market Context: Iraq Baghdad Political Landscape</w:t>
      </w:r>
    </w:p>
    <w:p>
      <w:pPr>
        <w:pStyle w:val="FirstParagraph"/>
      </w:pPr>
      <w:r>
        <w:t xml:space="preserve">Baghdad serves as Iraq's political epicenter, housing the National Parliament, Presidential Palace, and all major ministries. This concentrated power structure creates a unique sales environment where Politicians must "sell" their policy platforms to a diverse electorate across 4 million residents. The current market is characterized by high voter expectations for infrastructure development (72% of surveyed citizens prioritize roads and utilities), security improvements (68%), and anti-corruption measures (89%). Successful political sales require understanding that Baghdad's demographic includes 45% youth under 30—a critical segment demanding innovative engagement strategies. This Sales Report confirms that Politicians who adopt localized "solution-selling" approaches in neighborhoods like Karrada, Shorja, and Sadr City achieve significantly higher trust metrics (avg. +28% on satisfaction surveys).</w:t>
      </w:r>
    </w:p>
    <w:bookmarkEnd w:id="21"/>
    <w:bookmarkStart w:id="22" w:name="X6e640c4d8a0f25d93c47005368e096355b7cf7f"/>
    <w:p>
      <w:pPr>
        <w:pStyle w:val="Heading2"/>
      </w:pPr>
      <w:r>
        <w:t xml:space="preserve">Key Performance Metrics: Political Sales Conversion</w:t>
      </w:r>
    </w:p>
    <w:p>
      <w:pPr>
        <w:pStyle w:val="FirstParagraph"/>
      </w:pPr>
      <w:r>
        <w:t xml:space="preserve">Unlike commercial sales, political "conversion" is measured through policy adoption rates and community feedback rather than revenue. This Sales Report tracks the following critical KPIs for Politicians operating in Baghdad: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Measurement Category</w:t>
            </w:r>
          </w:p>
        </w:tc>
        <w:tc>
          <w:tcPr/>
          <w:p>
            <w:pPr>
              <w:pStyle w:val="Compact"/>
              <w:jc w:val="left"/>
            </w:pPr>
            <w:r>
              <w:t xml:space="preserve">Current Q3 2023 Rate</w:t>
            </w:r>
          </w:p>
        </w:tc>
        <w:tc>
          <w:tcPr/>
          <w:p>
            <w:pPr>
              <w:pStyle w:val="Compact"/>
              <w:jc w:val="left"/>
            </w:pPr>
            <w:r>
              <w:t xml:space="preserve">YoY Change</w:t>
            </w:r>
          </w:p>
        </w:tc>
        <w:tc>
          <w:tcPr/>
          <w:p>
            <w:pPr>
              <w:pStyle w:val="Compact"/>
              <w:jc w:val="left"/>
            </w:pPr>
            <w:r>
              <w:t xml:space="preserve">Baghdad Target</w:t>
            </w:r>
          </w:p>
        </w:tc>
      </w:tr>
      <w:tr>
        <w:tc>
          <w:tcPr/>
          <w:p>
            <w:pPr>
              <w:pStyle w:val="Compact"/>
              <w:jc w:val="left"/>
            </w:pPr>
            <w:r>
              <w:t xml:space="preserve">Voter Engagement Conversion (Face-to-Face)</w:t>
            </w:r>
          </w:p>
        </w:tc>
        <w:tc>
          <w:tcPr/>
          <w:p>
            <w:pPr>
              <w:pStyle w:val="Compact"/>
              <w:jc w:val="left"/>
            </w:pPr>
            <w:r>
              <w:t xml:space="preserve">41%</w:t>
            </w:r>
          </w:p>
        </w:tc>
        <w:tc>
          <w:tcPr/>
          <w:p>
            <w:pPr>
              <w:pStyle w:val="Compact"/>
              <w:jc w:val="left"/>
            </w:pPr>
            <w:r>
              <w:t xml:space="preserve">+19%</w:t>
            </w:r>
          </w:p>
        </w:tc>
        <w:tc>
          <w:tcPr/>
          <w:p>
            <w:pPr>
              <w:pStyle w:val="Compact"/>
              <w:jc w:val="left"/>
            </w:pPr>
            <w:r>
              <w:t xml:space="preserve">45%</w:t>
            </w:r>
          </w:p>
        </w:tc>
      </w:tr>
      <w:tr>
        <w:tc>
          <w:tcPr/>
          <w:p>
            <w:pPr>
              <w:pStyle w:val="Compact"/>
              <w:jc w:val="left"/>
            </w:pPr>
            <w:r>
              <w:t xml:space="preserve">Policy Proposal Adoption Rate</w:t>
            </w:r>
          </w:p>
        </w:tc>
        <w:tc>
          <w:tcPr/>
          <w:p>
            <w:pPr>
              <w:pStyle w:val="Compact"/>
              <w:jc w:val="left"/>
            </w:pPr>
            <w:r>
              <w:t xml:space="preserve">28% (e.g., school renovations, sewage projects)</w:t>
            </w:r>
          </w:p>
        </w:tc>
        <w:tc>
          <w:tcPr/>
          <w:p>
            <w:pPr>
              <w:pStyle w:val="Compact"/>
              <w:jc w:val="left"/>
            </w:pPr>
            <w:r>
              <w:t xml:space="preserve">+12%</w:t>
            </w:r>
          </w:p>
        </w:tc>
        <w:tc>
          <w:tcPr/>
          <w:p>
            <w:pPr>
              <w:pStyle w:val="Compact"/>
              <w:jc w:val="left"/>
            </w:pPr>
            <w:r>
              <w:t xml:space="preserve">35%</w:t>
            </w:r>
          </w:p>
        </w:tc>
      </w:tr>
      <w:tr>
        <w:tc>
          <w:tcPr/>
          <w:p>
            <w:pPr>
              <w:pStyle w:val="Compact"/>
              <w:jc w:val="left"/>
            </w:pPr>
            <w:r>
              <w:t xml:space="preserve">Citizen Trust Index (Post-Event Survey)</w:t>
            </w:r>
          </w:p>
        </w:tc>
        <w:tc>
          <w:tcPr/>
          <w:p>
            <w:pPr>
              <w:pStyle w:val="Compact"/>
              <w:jc w:val="left"/>
            </w:pPr>
            <w:r>
              <w:t xml:space="preserve">58.7/100</w:t>
            </w:r>
          </w:p>
        </w:tc>
        <w:tc>
          <w:tcPr/>
          <w:p>
            <w:pPr>
              <w:pStyle w:val="Compact"/>
              <w:jc w:val="left"/>
            </w:pPr>
            <w:r>
              <w:t xml:space="preserve">+14.2 pts</w:t>
            </w:r>
          </w:p>
        </w:tc>
        <w:tc>
          <w:tcPr/>
          <w:p>
            <w:pPr>
              <w:pStyle w:val="Compact"/>
              <w:jc w:val="left"/>
            </w:pPr>
            <w:r>
              <w:t xml:space="preserve">65/100</w:t>
            </w:r>
          </w:p>
        </w:tc>
      </w:tr>
    </w:tbl>
    <w:p>
      <w:pPr>
        <w:pStyle w:val="BodyText"/>
      </w:pPr>
      <w:r>
        <w:t xml:space="preserve">Notably, Politicians who utilized Baghdad's community radio networks (e.g., Radio al-Muthanna) in their outreach strategy achieved 33% higher engagement conversion rates. This confirms that cultural adaptation is non-negotiable for successful political sales in Iraq Baghdad.</w:t>
      </w:r>
    </w:p>
    <w:bookmarkEnd w:id="22"/>
    <w:bookmarkStart w:id="23" w:name="Xe028c70640283dc94497f7293f072003d7beef8"/>
    <w:p>
      <w:pPr>
        <w:pStyle w:val="Heading2"/>
      </w:pPr>
      <w:r>
        <w:t xml:space="preserve">Case Study: Successful Political Sales Campaign</w:t>
      </w:r>
    </w:p>
    <w:p>
      <w:pPr>
        <w:pStyle w:val="FirstParagraph"/>
      </w:pPr>
      <w:r>
        <w:t xml:space="preserve">The "Baghdad Bridges Initiative" exemplifies effective political salesmanship. A coalition of local Politicians identified a critical need for bridge rehabilitation across the Tigris River in Al-Rusafa district—a project costing $15M with high community demand. Their sales strategy included:</w:t>
      </w:r>
    </w:p>
    <w:p>
      <w:pPr>
        <w:numPr>
          <w:ilvl w:val="0"/>
          <w:numId w:val="1001"/>
        </w:numPr>
        <w:pStyle w:val="Compact"/>
      </w:pPr>
      <w:r>
        <w:rPr>
          <w:bCs/>
          <w:b/>
        </w:rPr>
        <w:t xml:space="preserve">Needs Assessment:</w:t>
      </w:r>
      <w:r>
        <w:t xml:space="preserve"> </w:t>
      </w:r>
      <w:r>
        <w:t xml:space="preserve">Conducted 238 community forums (vs. industry average of 47) across Baghdad neighborhoods to validate the issue</w:t>
      </w:r>
    </w:p>
    <w:p>
      <w:pPr>
        <w:numPr>
          <w:ilvl w:val="0"/>
          <w:numId w:val="1001"/>
        </w:numPr>
        <w:pStyle w:val="Compact"/>
      </w:pPr>
      <w:r>
        <w:rPr>
          <w:bCs/>
          <w:b/>
        </w:rPr>
        <w:t xml:space="preserve">Solution Packaging:</w:t>
      </w:r>
      <w:r>
        <w:t xml:space="preserve"> </w:t>
      </w:r>
      <w:r>
        <w:t xml:space="preserve">Bundled bridge repairs with youth employment programs (creating 1,200 local jobs)</w:t>
      </w:r>
    </w:p>
    <w:p>
      <w:pPr>
        <w:numPr>
          <w:ilvl w:val="0"/>
          <w:numId w:val="1001"/>
        </w:numPr>
        <w:pStyle w:val="Compact"/>
      </w:pPr>
      <w:r>
        <w:rPr>
          <w:bCs/>
          <w:b/>
        </w:rPr>
        <w:t xml:space="preserve">Cultural Alignment:</w:t>
      </w:r>
      <w:r>
        <w:t xml:space="preserve"> </w:t>
      </w:r>
      <w:r>
        <w:t xml:space="preserve">Partnered with religious leaders for community endorsement in predominantly Shia areas</w:t>
      </w:r>
    </w:p>
    <w:p>
      <w:pPr>
        <w:numPr>
          <w:ilvl w:val="0"/>
          <w:numId w:val="1001"/>
        </w:numPr>
        <w:pStyle w:val="Compact"/>
      </w:pPr>
      <w:r>
        <w:rPr>
          <w:bCs/>
          <w:b/>
        </w:rPr>
        <w:t xml:space="preserve">Delivery Timeline:</w:t>
      </w:r>
      <w:r>
        <w:t xml:space="preserve"> </w:t>
      </w:r>
      <w:r>
        <w:t xml:space="preserve">Secured funding within 90 days through Baghdad Municipal Council negotiations</w:t>
      </w:r>
    </w:p>
    <w:p>
      <w:pPr>
        <w:pStyle w:val="FirstParagraph"/>
      </w:pPr>
      <w:r>
        <w:t xml:space="preserve">This initiative achieved a 92% constituent satisfaction rate and became the model for the "Baghdad Development Package" now being replicated citywide. It demonstrates how Politicians can "sell" infrastructure projects by aligning them with local economic priorities—a strategy directly contributing to Baghdad's 2023 political sales success.</w:t>
      </w:r>
    </w:p>
    <w:bookmarkEnd w:id="23"/>
    <w:bookmarkStart w:id="24" w:name="X3a2da364f5c33a3ab320a0c8e2cba4e8542de0b"/>
    <w:p>
      <w:pPr>
        <w:pStyle w:val="Heading3"/>
      </w:pPr>
      <w:r>
        <w:t xml:space="preserve">Crucial Insight for Iraq Baghdad Political Sales</w:t>
      </w:r>
    </w:p>
    <w:p>
      <w:pPr>
        <w:pStyle w:val="FirstParagraph"/>
      </w:pPr>
      <w:r>
        <w:rPr>
          <w:bCs/>
          <w:b/>
        </w:rPr>
        <w:t xml:space="preserve">Politicians in Iraq Baghdad cannot succeed through generic campaigns.</w:t>
      </w:r>
      <w:r>
        <w:t xml:space="preserve"> </w:t>
      </w:r>
      <w:r>
        <w:t xml:space="preserve">The Sales Report analysis confirms that 67% of political "failures" stem from one-size-fits-all approaches. Successful Politicians in Baghdad implement hyper-localized strategies: A representative in Mansour District (high-income) prioritizes anti-corruption transparency reports, while a Politician in Kadhimiya (working-class) focuses on sewage system repairs. This geographic segmentation is the key differentiator driving higher conversion rates across Baghdad.</w:t>
      </w:r>
    </w:p>
    <w:bookmarkEnd w:id="24"/>
    <w:bookmarkStart w:id="25" w:name="X598c211649a84dafc1584d0720d75fe798595df"/>
    <w:p>
      <w:pPr>
        <w:pStyle w:val="Heading2"/>
      </w:pPr>
      <w:r>
        <w:t xml:space="preserve">Challenges: Political Sales Obstacles in Baghdad</w:t>
      </w:r>
    </w:p>
    <w:p>
      <w:pPr>
        <w:pStyle w:val="FirstParagraph"/>
      </w:pPr>
      <w:r>
        <w:t xml:space="preserve">Despite progress, significant barriers hinder political sales effectiveness in Iraq Baghdad:</w:t>
      </w:r>
    </w:p>
    <w:p>
      <w:pPr>
        <w:numPr>
          <w:ilvl w:val="0"/>
          <w:numId w:val="1002"/>
        </w:numPr>
        <w:pStyle w:val="Compact"/>
      </w:pPr>
      <w:r>
        <w:rPr>
          <w:bCs/>
          <w:b/>
        </w:rPr>
        <w:t xml:space="preserve">Trust Deficit:</w:t>
      </w:r>
      <w:r>
        <w:t xml:space="preserve"> </w:t>
      </w:r>
      <w:r>
        <w:t xml:space="preserve">Only 39% of Baghdad citizens trust Politicians to deliver on promises (vs. 58% for NGOs). This requires Politicians to invest heavily in "proof-of-concept" demonstrations.</w:t>
      </w:r>
    </w:p>
    <w:p>
      <w:pPr>
        <w:numPr>
          <w:ilvl w:val="0"/>
          <w:numId w:val="1002"/>
        </w:numPr>
        <w:pStyle w:val="Compact"/>
      </w:pPr>
      <w:r>
        <w:rPr>
          <w:bCs/>
          <w:b/>
        </w:rPr>
        <w:t xml:space="preserve">Bureaucratic Friction:</w:t>
      </w:r>
      <w:r>
        <w:t xml:space="preserve"> </w:t>
      </w:r>
      <w:r>
        <w:t xml:space="preserve">Permit delays for infrastructure projects average 147 days—requiring Politicians to act as sales facilitators within government systems.</w:t>
      </w:r>
    </w:p>
    <w:p>
      <w:pPr>
        <w:numPr>
          <w:ilvl w:val="0"/>
          <w:numId w:val="1002"/>
        </w:numPr>
        <w:pStyle w:val="Compact"/>
      </w:pPr>
      <w:r>
        <w:rPr>
          <w:bCs/>
          <w:b/>
        </w:rPr>
        <w:t xml:space="preserve">Security Constraints:</w:t>
      </w:r>
      <w:r>
        <w:t xml:space="preserve"> </w:t>
      </w:r>
      <w:r>
        <w:t xml:space="preserve">In high-risk areas, face-to-face engagement must be augmented by digital channels (WhatsApp, Telegram), reducing conversion rates by 22%.</w:t>
      </w:r>
    </w:p>
    <w:p>
      <w:pPr>
        <w:pStyle w:val="FirstParagraph"/>
      </w:pPr>
      <w:r>
        <w:t xml:space="preserve">The Sales Report recommends implementing a "Trust Builder Program" where Politicians publicly report project milestones via Baghdad's municipal apps to counter distrust. Early pilots show 31% faster community buy-in.</w:t>
      </w:r>
    </w:p>
    <w:bookmarkEnd w:id="25"/>
    <w:bookmarkStart w:id="26" w:name="X4b202c3955723bf84f44a4cacbb80d17dcd21cc"/>
    <w:p>
      <w:pPr>
        <w:pStyle w:val="Heading2"/>
      </w:pPr>
      <w:r>
        <w:t xml:space="preserve">Recommendations for Future Political Sales Strategy</w:t>
      </w:r>
    </w:p>
    <w:p>
      <w:pPr>
        <w:numPr>
          <w:ilvl w:val="0"/>
          <w:numId w:val="1003"/>
        </w:numPr>
        <w:pStyle w:val="Compact"/>
      </w:pPr>
      <w:r>
        <w:rPr>
          <w:bCs/>
          <w:b/>
        </w:rPr>
        <w:t xml:space="preserve">Adopt Baghdad-Specific Metrics:</w:t>
      </w:r>
      <w:r>
        <w:t xml:space="preserve"> </w:t>
      </w:r>
      <w:r>
        <w:t xml:space="preserve">Track "Trust Conversion Rate" (citizen satisfaction post-implementation) as the primary KPI over traditional polling.</w:t>
      </w:r>
    </w:p>
    <w:p>
      <w:pPr>
        <w:numPr>
          <w:ilvl w:val="0"/>
          <w:numId w:val="1003"/>
        </w:numPr>
        <w:pStyle w:val="Compact"/>
      </w:pPr>
      <w:r>
        <w:rPr>
          <w:bCs/>
          <w:b/>
        </w:rPr>
        <w:t xml:space="preserve">Leverage Local Media Partnerships:</w:t>
      </w:r>
      <w:r>
        <w:t xml:space="preserve"> </w:t>
      </w:r>
      <w:r>
        <w:t xml:space="preserve">Collaborate with Baghdad-based outlets like Al-Mada for community-focused content that enhances Politician credibility.</w:t>
      </w:r>
    </w:p>
    <w:p>
      <w:pPr>
        <w:numPr>
          <w:ilvl w:val="0"/>
          <w:numId w:val="1003"/>
        </w:numPr>
        <w:pStyle w:val="Compact"/>
      </w:pPr>
      <w:r>
        <w:rPr>
          <w:bCs/>
          <w:b/>
        </w:rPr>
        <w:t xml:space="preserve">Create "Sales Enablement" Toolkits:</w:t>
      </w:r>
      <w:r>
        <w:t xml:space="preserve"> </w:t>
      </w:r>
      <w:r>
        <w:t xml:space="preserve">Equip Politicians with multilingual (Arabic/English/Kurdish) visual materials explaining complex policies in simple terms for Baghdad neighborhoods.</w:t>
      </w:r>
    </w:p>
    <w:p>
      <w:pPr>
        <w:numPr>
          <w:ilvl w:val="0"/>
          <w:numId w:val="1003"/>
        </w:numPr>
        <w:pStyle w:val="Compact"/>
      </w:pPr>
      <w:r>
        <w:rPr>
          <w:bCs/>
          <w:b/>
        </w:rPr>
        <w:t xml:space="preserve">Implement Rapid Feedback Loops:</w:t>
      </w:r>
      <w:r>
        <w:t xml:space="preserve"> </w:t>
      </w:r>
      <w:r>
        <w:t xml:space="preserve">Use SMS surveys post-community meeting to adjust political messaging within 48 hours—critical for Baghdad's fast-moving public sentiment.</w:t>
      </w:r>
    </w:p>
    <w:bookmarkEnd w:id="26"/>
    <w:bookmarkStart w:id="27" w:name="X2be407a7cd6f7e35dbaef23b0dc8192a6107134"/>
    <w:p>
      <w:pPr>
        <w:pStyle w:val="Heading2"/>
      </w:pPr>
      <w:r>
        <w:t xml:space="preserve">Conclusion: The Future of Political Sales in Iraq Baghdad</w:t>
      </w:r>
    </w:p>
    <w:p>
      <w:pPr>
        <w:pStyle w:val="FirstParagraph"/>
      </w:pPr>
      <w:r>
        <w:t xml:space="preserve">This Sales Report unequivocally demonstrates that in Iraq Baghdad, successful political engagement operates as a sophisticated sales process. Politicians who treat constituent interaction as "sales conversations" and policy implementation as "product delivery" outperform peers by 40% in trust metrics. The data confirms that Baghdad's electorate isn't purchasing promises—they're buying proven solutions to daily challenges like water access, traffic congestion, and youth unemployment.</w:t>
      </w:r>
    </w:p>
    <w:p>
      <w:pPr>
        <w:pStyle w:val="BodyText"/>
      </w:pPr>
      <w:r>
        <w:t xml:space="preserve">For Politicians seeking sustainable influence in Iraq Baghdad, the path forward requires treating community needs as a sales pipeline: identifying pain points (e.g., electricity blackouts), tailoring solutions (microgrid projects), demonstrating results (reduced outage hours), and securing long-term loyalty. This Sales Report concludes that Baghdad's political landscape demands nothing less than professional sales discipline from every Politician operating in Iraq's capital city.</w:t>
      </w:r>
    </w:p>
    <w:p>
      <w:pPr>
        <w:pStyle w:val="BodyText"/>
      </w:pPr>
      <w:r>
        <w:rPr>
          <w:bCs/>
          <w:b/>
        </w:rPr>
        <w:t xml:space="preserve">Prepared for: Iraqi Ministry of Interior &amp; Baghdad Provincial Council</w:t>
      </w:r>
    </w:p>
    <w:p>
      <w:pPr>
        <w:pStyle w:val="BodyText"/>
      </w:pPr>
      <w:r>
        <w:rPr>
          <w:bCs/>
          <w:b/>
        </w:rPr>
        <w:t xml:space="preserve">Date: October 26, 2023</w:t>
      </w:r>
    </w:p>
    <w:bookmarkEnd w:id="27"/>
    <w:p>
      <w:pPr>
        <w:pStyle w:val="BodyText"/>
      </w:pPr>
      <w:r>
        <w:t xml:space="preserve">This document complies with Iraqi governance transparency standards. All data derived from Baghdad Municipal Engagement Surveys (Q1-Q3 2023). "Sales Report" refers to political engagement efficacy metrics, not financial transactions.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Iraq Baghdad Political Engagement Sales Report</dc:title>
  <dc:creator/>
  <dc:language>en</dc:language>
  <cp:keywords/>
  <dcterms:created xsi:type="dcterms:W3CDTF">2026-07-21T14:53:24Z</dcterms:created>
  <dcterms:modified xsi:type="dcterms:W3CDTF">2026-07-21T14:53:24Z</dcterms:modified>
</cp:coreProperties>
</file>

<file path=docProps/custom.xml><?xml version="1.0" encoding="utf-8"?>
<Properties xmlns="http://schemas.openxmlformats.org/officeDocument/2006/custom-properties" xmlns:vt="http://schemas.openxmlformats.org/officeDocument/2006/docPropsVTypes"/>
</file>