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p>
    <w:bookmarkStart w:id="30" w:name="X314be8b9dc3aafb193c1bc9b32fa58c2c5eb78c"/>
    <w:p>
      <w:pPr>
        <w:pStyle w:val="Heading1"/>
      </w:pPr>
      <w:r>
        <w:t xml:space="preserve">Comprehensive Sales Report: Political Campaign Performance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Honorable [Politician Name], Candidate for Mayor of Tel Aviv</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presents a detailed analysis of the political campaign's performance metrics across Israel Tel Aviv, focusing on voter acquisition, community engagement, and strategic outreach initiatives. As a leading contender in the Tel Aviv mayoral race, our campaign has demonstrated exceptional growth in key performance indicators (KPIs), exceeding all pre-established targets. The data reveals a 42% increase in registered supporter conversions compared to Q2 2023, with Tel Aviv's diverse neighborhoods showing particularly strong engagement patterns. This report confirms that our targeted approach to the Israel Tel Aviv market has positioned the [Politician Name] campaign as a dominant force in the upcoming municipal elections.</w:t>
      </w:r>
    </w:p>
    <w:bookmarkEnd w:id="20"/>
    <w:bookmarkStart w:id="21" w:name="Xb97745310b23f01190699c670fd449bc5f6f563"/>
    <w:p>
      <w:pPr>
        <w:pStyle w:val="Heading2"/>
      </w:pPr>
      <w:r>
        <w:t xml:space="preserve">Market Analysis: Israel Tel Aviv Political Landscape</w:t>
      </w:r>
    </w:p>
    <w:p>
      <w:pPr>
        <w:pStyle w:val="FirstParagraph"/>
      </w:pPr>
      <w:r>
        <w:t xml:space="preserve">Tel Aviv, Israel's economic and cultural heartland, represents a critical battleground for political influence. With its 450,000 residents across 17 distinct neighborhoods—from the affluent Florentin to the tech-savvy Neve Tzedek—the market demands nuanced voter engagement strategies. Our analysis confirms that Tel Aviv voters prioritize innovation (73%), affordable housing (68%), and sustainable urban development (62%) as primary decision drivers, aligning perfectly with [Politician Name]'s platform. The competitive landscape shows two major opponents capturing only 18% combined digital attention versus our 57%, proving the effectiveness of our localized sales strategy.</w:t>
      </w:r>
    </w:p>
    <w:bookmarkEnd w:id="21"/>
    <w:bookmarkStart w:id="25" w:name="key-sales-performance-metrics"/>
    <w:p>
      <w:pPr>
        <w:pStyle w:val="Heading2"/>
      </w:pPr>
      <w:r>
        <w:t xml:space="preserve">Key Sales Performance Metrics</w:t>
      </w:r>
    </w:p>
    <w:bookmarkStart w:id="22" w:name="voter-acquisition-conversion-rate"/>
    <w:p>
      <w:pPr>
        <w:pStyle w:val="Heading3"/>
      </w:pPr>
      <w:r>
        <w:t xml:space="preserve">Voter Acquisition &amp; Conversion Rate</w:t>
      </w:r>
    </w:p>
    <w:p>
      <w:pPr>
        <w:pStyle w:val="FirstParagraph"/>
      </w:pPr>
      <w:r>
        <w:t xml:space="preserve">Our campaign achieved a remarkable 64.7% lead conversion rate from initial inquiries to registered supporters—surpassing the industry benchmark of 48% for political campaigns in Israel. Through hyper-localized door-knocking initiatives across Tel Aviv neighborhoods, we secured:</w:t>
      </w:r>
    </w:p>
    <w:p>
      <w:pPr>
        <w:numPr>
          <w:ilvl w:val="0"/>
          <w:numId w:val="1001"/>
        </w:numPr>
        <w:pStyle w:val="Compact"/>
      </w:pPr>
      <w:r>
        <w:rPr>
          <w:bCs/>
          <w:b/>
        </w:rPr>
        <w:t xml:space="preserve">32,150 new voter registrations</w:t>
      </w:r>
      <w:r>
        <w:t xml:space="preserve"> </w:t>
      </w:r>
      <w:r>
        <w:t xml:space="preserve">(+42% MoM) targeting the 18-35 demographic</w:t>
      </w:r>
    </w:p>
    <w:p>
      <w:pPr>
        <w:numPr>
          <w:ilvl w:val="0"/>
          <w:numId w:val="1001"/>
        </w:numPr>
        <w:pStyle w:val="Compact"/>
      </w:pPr>
      <w:r>
        <w:rPr>
          <w:bCs/>
          <w:b/>
        </w:rPr>
        <w:t xml:space="preserve">97% neighborhood coverage</w:t>
      </w:r>
      <w:r>
        <w:t xml:space="preserve"> </w:t>
      </w:r>
      <w:r>
        <w:t xml:space="preserve">in Tel Aviv's 6 core districts (North, South, East, West, Center, and Coastal)</w:t>
      </w:r>
    </w:p>
    <w:p>
      <w:pPr>
        <w:numPr>
          <w:ilvl w:val="0"/>
          <w:numId w:val="1001"/>
        </w:numPr>
        <w:pStyle w:val="Compact"/>
      </w:pPr>
      <w:r>
        <w:rPr>
          <w:bCs/>
          <w:b/>
        </w:rPr>
        <w:t xml:space="preserve">28.3 average minutes per voter engagement session</w:t>
      </w:r>
      <w:r>
        <w:t xml:space="preserve">, exceeding the 15-minute industry standard</w:t>
      </w:r>
    </w:p>
    <w:bookmarkEnd w:id="22"/>
    <w:bookmarkStart w:id="23" w:name="fundraising-resource-allocation"/>
    <w:p>
      <w:pPr>
        <w:pStyle w:val="Heading3"/>
      </w:pPr>
      <w:r>
        <w:t xml:space="preserve">Fundraising &amp; Resource Allocation</w:t>
      </w:r>
    </w:p>
    <w:p>
      <w:pPr>
        <w:pStyle w:val="FirstParagraph"/>
      </w:pPr>
      <w:r>
        <w:t xml:space="preserve">The campaign's financial engine demonstrated exceptional efficiency, with every NIS 1 invested generating NIS 4.70 in community impact value. Strategic resource allocation focused on high-potential Tel Aviv neighborhoods yielded:</w:t>
      </w:r>
    </w:p>
    <w:p>
      <w:pPr>
        <w:numPr>
          <w:ilvl w:val="0"/>
          <w:numId w:val="1002"/>
        </w:numPr>
        <w:pStyle w:val="Compact"/>
      </w:pPr>
      <w:r>
        <w:rPr>
          <w:bCs/>
          <w:b/>
        </w:rPr>
        <w:t xml:space="preserve">NIS 1,850,200 raised</w:t>
      </w:r>
      <w:r>
        <w:t xml:space="preserve"> </w:t>
      </w:r>
      <w:r>
        <w:t xml:space="preserve">(37% above Q2 target) from 5,124 individual donors across Israel</w:t>
      </w:r>
    </w:p>
    <w:p>
      <w:pPr>
        <w:numPr>
          <w:ilvl w:val="0"/>
          <w:numId w:val="1002"/>
        </w:numPr>
        <w:pStyle w:val="Compact"/>
      </w:pPr>
      <w:r>
        <w:rPr>
          <w:bCs/>
          <w:b/>
        </w:rPr>
        <w:t xml:space="preserve">43% of funds directed to Tel Aviv-specific initiatives</w:t>
      </w:r>
      <w:r>
        <w:t xml:space="preserve"> </w:t>
      </w:r>
      <w:r>
        <w:t xml:space="preserve">(vs. 29% industry average)</w:t>
      </w:r>
    </w:p>
    <w:p>
      <w:pPr>
        <w:numPr>
          <w:ilvl w:val="0"/>
          <w:numId w:val="1002"/>
        </w:numPr>
        <w:pStyle w:val="Compact"/>
      </w:pPr>
      <w:r>
        <w:rPr>
          <w:bCs/>
          <w:b/>
        </w:rPr>
        <w:t xml:space="preserve">Social media ROI of 1:8.3</w:t>
      </w:r>
      <w:r>
        <w:t xml:space="preserve">, driven by targeted Instagram/WhatsApp campaigns reaching 1.2M Tel Aviv residents</w:t>
      </w:r>
    </w:p>
    <w:bookmarkEnd w:id="23"/>
    <w:bookmarkStart w:id="24" w:name="media-community-engagement-metrics"/>
    <w:p>
      <w:pPr>
        <w:pStyle w:val="Heading3"/>
      </w:pPr>
      <w:r>
        <w:t xml:space="preserve">Media &amp; Community Engagement Metrics</w:t>
      </w:r>
    </w:p>
    <w:p>
      <w:pPr>
        <w:pStyle w:val="FirstParagraph"/>
      </w:pPr>
      <w:r>
        <w:t xml:space="preserve">Our multi-channel outreach strategy generated unprecedented community resonance in Israel Tel Aviv:</w:t>
      </w:r>
    </w:p>
    <w:p>
      <w:pPr>
        <w:numPr>
          <w:ilvl w:val="0"/>
          <w:numId w:val="1003"/>
        </w:numPr>
        <w:pStyle w:val="Compact"/>
      </w:pPr>
      <w:r>
        <w:rPr>
          <w:bCs/>
          <w:b/>
        </w:rPr>
        <w:t xml:space="preserve">247,000+ direct community interactions</w:t>
      </w:r>
      <w:r>
        <w:t xml:space="preserve"> </w:t>
      </w:r>
      <w:r>
        <w:t xml:space="preserve">through 198 neighborhood events (vs. 89 in Q2)</w:t>
      </w:r>
    </w:p>
    <w:p>
      <w:pPr>
        <w:numPr>
          <w:ilvl w:val="0"/>
          <w:numId w:val="1003"/>
        </w:numPr>
        <w:pStyle w:val="Compact"/>
      </w:pPr>
      <w:r>
        <w:rPr>
          <w:bCs/>
          <w:b/>
        </w:rPr>
        <w:t xml:space="preserve">35% increase in local media mentions</w:t>
      </w:r>
      <w:r>
        <w:t xml:space="preserve"> </w:t>
      </w:r>
      <w:r>
        <w:t xml:space="preserve">(Haaretz, Ynet, Times of Israel) focused specifically on Tel Aviv policy proposals</w:t>
      </w:r>
    </w:p>
    <w:p>
      <w:pPr>
        <w:numPr>
          <w:ilvl w:val="0"/>
          <w:numId w:val="1003"/>
        </w:numPr>
        <w:pStyle w:val="Compact"/>
      </w:pPr>
      <w:r>
        <w:rPr>
          <w:bCs/>
          <w:b/>
        </w:rPr>
        <w:t xml:space="preserve">74% positive sentiment</w:t>
      </w:r>
      <w:r>
        <w:t xml:space="preserve"> </w:t>
      </w:r>
      <w:r>
        <w:t xml:space="preserve">in Tel Aviv social listening data (compared to 41% for opponents)</w:t>
      </w:r>
    </w:p>
    <w:p>
      <w:pPr>
        <w:numPr>
          <w:ilvl w:val="0"/>
          <w:numId w:val="1003"/>
        </w:numPr>
        <w:pStyle w:val="Compact"/>
      </w:pPr>
      <w:r>
        <w:rPr>
          <w:bCs/>
          <w:b/>
        </w:rPr>
        <w:t xml:space="preserve">89% volunteer retention rate</w:t>
      </w:r>
      <w:r>
        <w:t xml:space="preserve"> </w:t>
      </w:r>
      <w:r>
        <w:t xml:space="preserve">among Tel Aviv-based campaign staff and community advocates</w:t>
      </w:r>
    </w:p>
    <w:bookmarkEnd w:id="24"/>
    <w:bookmarkEnd w:id="25"/>
    <w:bookmarkStart w:id="26" w:name="X55d15519baef9e4ee1c4f1e69006ef35f35dbc9"/>
    <w:p>
      <w:pPr>
        <w:pStyle w:val="Heading2"/>
      </w:pPr>
      <w:r>
        <w:t xml:space="preserve">Strategic Initiatives Driving Success in Israel Tel Aviv</w:t>
      </w:r>
    </w:p>
    <w:p>
      <w:pPr>
        <w:pStyle w:val="FirstParagraph"/>
      </w:pPr>
      <w:r>
        <w:t xml:space="preserve">The campaign's sales strategy centered on three pillars uniquely tailored for the Tel Aviv market:</w:t>
      </w:r>
    </w:p>
    <w:p>
      <w:pPr>
        <w:numPr>
          <w:ilvl w:val="0"/>
          <w:numId w:val="1004"/>
        </w:numPr>
        <w:pStyle w:val="Compact"/>
      </w:pPr>
      <w:r>
        <w:rPr>
          <w:bCs/>
          <w:b/>
        </w:rPr>
        <w:t xml:space="preserve">Hyper-Localized Policy Propositions:</w:t>
      </w:r>
      <w:r>
        <w:t xml:space="preserve"> </w:t>
      </w:r>
      <w:r>
        <w:t xml:space="preserve">Developed neighborhood-specific action plans (e.g., "Florentin Innovation Hub," "Neve Tzedek Green Corridors") that directly addressed community pain points identified through 3,200+ Tel Aviv resident surveys. These initiatives accounted for 67% of all voter inquiries.</w:t>
      </w:r>
    </w:p>
    <w:p>
      <w:pPr>
        <w:numPr>
          <w:ilvl w:val="0"/>
          <w:numId w:val="1004"/>
        </w:numPr>
        <w:pStyle w:val="Compact"/>
      </w:pPr>
      <w:r>
        <w:rPr>
          <w:bCs/>
          <w:b/>
        </w:rPr>
        <w:t xml:space="preserve">Digital-First Voter Journey:</w:t>
      </w:r>
      <w:r>
        <w:t xml:space="preserve"> </w:t>
      </w:r>
      <w:r>
        <w:t xml:space="preserve">Implemented a WhatsApp-based engagement platform that delivered real-time updates on Tel Aviv-specific projects (e.g., "Dizengoff Street Traffic Flow Analysis"). Resulted in 18,400+ active community group participants—doubling the previous campaign's digital reach.</w:t>
      </w:r>
    </w:p>
    <w:p>
      <w:pPr>
        <w:numPr>
          <w:ilvl w:val="0"/>
          <w:numId w:val="1004"/>
        </w:numPr>
        <w:pStyle w:val="Compact"/>
      </w:pPr>
      <w:r>
        <w:rPr>
          <w:bCs/>
          <w:b/>
        </w:rPr>
        <w:t xml:space="preserve">Strategic Community Partnerships:</w:t>
      </w:r>
      <w:r>
        <w:t xml:space="preserve"> </w:t>
      </w:r>
      <w:r>
        <w:t xml:space="preserve">Forged 27 alliances with Tel Aviv-based organizations (e.g., TechTel Aviv, Jaffa Farmers Market Association), creating natural referral networks that generated 58% of new voter leads through trusted local voices.</w:t>
      </w:r>
    </w:p>
    <w:bookmarkEnd w:id="26"/>
    <w:bookmarkStart w:id="27" w:name="X041916c31f7f737af9110cc1c1d7a9c359ef759"/>
    <w:p>
      <w:pPr>
        <w:pStyle w:val="Heading2"/>
      </w:pPr>
      <w:r>
        <w:t xml:space="preserve">Competitive Differentiation in the Tel Aviv Market</w:t>
      </w:r>
    </w:p>
    <w:p>
      <w:pPr>
        <w:pStyle w:val="FirstParagraph"/>
      </w:pPr>
      <w:r>
        <w:t xml:space="preserve">While opponents rely on generic national messaging, [Politician Name]'s campaign has established a distinct competitive edge by focusing exclusively on Israel Tel Aviv's unique dynamics. Our Sales Report data shows:</w:t>
      </w:r>
    </w:p>
    <w:p>
      <w:pPr>
        <w:numPr>
          <w:ilvl w:val="0"/>
          <w:numId w:val="1005"/>
        </w:numPr>
        <w:pStyle w:val="Compact"/>
      </w:pPr>
      <w:r>
        <w:rPr>
          <w:bCs/>
          <w:b/>
        </w:rPr>
        <w:t xml:space="preserve">81% of Tel Aviv voters</w:t>
      </w:r>
      <w:r>
        <w:t xml:space="preserve"> </w:t>
      </w:r>
      <w:r>
        <w:t xml:space="preserve">recognize the candidate as "the only one who understands our neighborhood needs" (vs. 34% for opponents)</w:t>
      </w:r>
    </w:p>
    <w:p>
      <w:pPr>
        <w:numPr>
          <w:ilvl w:val="0"/>
          <w:numId w:val="1005"/>
        </w:numPr>
        <w:pStyle w:val="Compact"/>
      </w:pPr>
      <w:r>
        <w:rPr>
          <w:bCs/>
          <w:b/>
        </w:rPr>
        <w:t xml:space="preserve">NIS 3.2M in community impact value</w:t>
      </w:r>
      <w:r>
        <w:t xml:space="preserve"> </w:t>
      </w:r>
      <w:r>
        <w:t xml:space="preserve">generated per NIS 1 spent on localized initiatives—7x higher than competitor averages</w:t>
      </w:r>
    </w:p>
    <w:p>
      <w:pPr>
        <w:numPr>
          <w:ilvl w:val="0"/>
          <w:numId w:val="1005"/>
        </w:numPr>
        <w:pStyle w:val="Compact"/>
      </w:pPr>
      <w:r>
        <w:rPr>
          <w:bCs/>
          <w:b/>
        </w:rPr>
        <w:t xml:space="preserve">0 negative sentiment spikes</w:t>
      </w:r>
      <w:r>
        <w:t xml:space="preserve"> </w:t>
      </w:r>
      <w:r>
        <w:t xml:space="preserve">in Tel Aviv's digital ecosystem (vs. 3 significant spikes for competitors)</w:t>
      </w:r>
    </w:p>
    <w:bookmarkEnd w:id="27"/>
    <w:bookmarkStart w:id="28" w:name="future-outlook-strategic-recommendations"/>
    <w:p>
      <w:pPr>
        <w:pStyle w:val="Heading2"/>
      </w:pPr>
      <w:r>
        <w:t xml:space="preserve">Future Outlook &amp; Strategic Recommendations</w:t>
      </w:r>
    </w:p>
    <w:p>
      <w:pPr>
        <w:pStyle w:val="FirstParagraph"/>
      </w:pPr>
      <w:r>
        <w:t xml:space="preserve">The current Sales Report confirms the campaign is on track to secure a commanding lead in Israel Tel Aviv. To maintain this momentum, we recommend:</w:t>
      </w:r>
    </w:p>
    <w:p>
      <w:pPr>
        <w:numPr>
          <w:ilvl w:val="0"/>
          <w:numId w:val="1006"/>
        </w:numPr>
        <w:pStyle w:val="Compact"/>
      </w:pPr>
      <w:r>
        <w:rPr>
          <w:bCs/>
          <w:b/>
        </w:rPr>
        <w:t xml:space="preserve">Scale Neighborhood Task Forces:</w:t>
      </w:r>
      <w:r>
        <w:t xml:space="preserve"> </w:t>
      </w:r>
      <w:r>
        <w:t xml:space="preserve">Expand the 198 successful neighborhood events into 250+ by election day with dedicated Tel Aviv community liaisons.</w:t>
      </w:r>
    </w:p>
    <w:p>
      <w:pPr>
        <w:numPr>
          <w:ilvl w:val="0"/>
          <w:numId w:val="1006"/>
        </w:numPr>
        <w:pStyle w:val="Compact"/>
      </w:pPr>
      <w:r>
        <w:rPr>
          <w:bCs/>
          <w:b/>
        </w:rPr>
        <w:t xml:space="preserve">Launch "Tel Aviv Growth Tracker":</w:t>
      </w:r>
      <w:r>
        <w:t xml:space="preserve"> </w:t>
      </w:r>
      <w:r>
        <w:t xml:space="preserve">Develop a public dashboard showing real-time progress on all neighborhood-specific pledges (e.g., "Dizengoff Street Sidewalks: 62% Complete").</w:t>
      </w:r>
    </w:p>
    <w:p>
      <w:pPr>
        <w:numPr>
          <w:ilvl w:val="0"/>
          <w:numId w:val="1006"/>
        </w:numPr>
        <w:pStyle w:val="Compact"/>
      </w:pPr>
      <w:r>
        <w:rPr>
          <w:bCs/>
          <w:b/>
        </w:rPr>
        <w:t xml:space="preserve">Activate Alumni Network:</w:t>
      </w:r>
      <w:r>
        <w:t xml:space="preserve"> </w:t>
      </w:r>
      <w:r>
        <w:t xml:space="preserve">Convert 12,000+ registered supporters into volunteer ambassadors through structured outreach programs.</w:t>
      </w:r>
    </w:p>
    <w:p>
      <w:pPr>
        <w:pStyle w:val="FirstParagraph"/>
      </w:pPr>
      <w:r>
        <w:t xml:space="preserve">The data is unequivocal: [Politician Name]'s campaign has executed a market-leading sales strategy for Israel Tel Aviv. Our conversion rates, community integration depth, and policy relevance metrics demonstrate not just competitive advantage, but a fundamental redefinition of voter engagement in Tel Aviv's political landscape. The path forward requires maintaining this hyper-local focus while scaling proven tactics across all 17 neighborhoods.</w:t>
      </w:r>
    </w:p>
    <w:bookmarkEnd w:id="28"/>
    <w:bookmarkStart w:id="29" w:name="conclusion"/>
    <w:p>
      <w:pPr>
        <w:pStyle w:val="Heading2"/>
      </w:pPr>
      <w:r>
        <w:t xml:space="preserve">Conclusion</w:t>
      </w:r>
    </w:p>
    <w:p>
      <w:pPr>
        <w:pStyle w:val="FirstParagraph"/>
      </w:pPr>
      <w:r>
        <w:t xml:space="preserve">This Sales Report underscores that the [Politician Name] campaign has achieved unprecedented success in Israel Tel Aviv by treating community engagement as a strategic sales process—where every voter interaction is a conversion opportunity and every neighborhood is a distinct market segment. The numbers speak for themselves: 42% higher growth than industry benchmarks, 64.7% lead conversion rates, and unmatched community trust metrics. As the election approaches, this data-driven approach positions our candidate not merely as a contender in Tel Aviv politics, but as the definitive leader of Israel's most dynamic city. The Sales Report concludes with an unambiguous recommendation: double down on these localized strategies to secure victory in Israel Tel Aviv.</w:t>
      </w:r>
    </w:p>
    <w:p>
      <w:pPr>
        <w:pStyle w:val="BodyText"/>
      </w:pPr>
      <w:r>
        <w:rPr>
          <w:iCs/>
          <w:i/>
        </w:rPr>
        <w:t xml:space="preserve">"In Tel Aviv, success isn't measured in votes alone—it's measured by how deeply we integrate into the heartbeat of each neighborhood. This Sales Report proves we've done that better than any other campaign." - [Politician Name], Campaign Leader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Tel Aviv, Israel</dc:title>
  <dc:creator/>
  <dc:language>en</dc:language>
  <cp:keywords/>
  <dcterms:created xsi:type="dcterms:W3CDTF">2026-07-23T20:14:50Z</dcterms:created>
  <dcterms:modified xsi:type="dcterms:W3CDTF">2026-07-23T20:14:50Z</dcterms:modified>
</cp:coreProperties>
</file>

<file path=docProps/custom.xml><?xml version="1.0" encoding="utf-8"?>
<Properties xmlns="http://schemas.openxmlformats.org/officeDocument/2006/custom-properties" xmlns:vt="http://schemas.openxmlformats.org/officeDocument/2006/docPropsVTypes"/>
</file>