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Performance</w:t>
      </w:r>
      <w:r>
        <w:t xml:space="preserve"> </w:t>
      </w:r>
      <w:r>
        <w:t xml:space="preserve">Report:</w:t>
      </w:r>
      <w:r>
        <w:t xml:space="preserve"> </w:t>
      </w:r>
      <w:r>
        <w:t xml:space="preserve">Milan</w:t>
      </w:r>
      <w:r>
        <w:t xml:space="preserve"> </w:t>
      </w:r>
      <w:r>
        <w:t xml:space="preserve">Market</w:t>
      </w:r>
      <w:r>
        <w:t xml:space="preserve"> </w:t>
      </w:r>
      <w:r>
        <w:t xml:space="preserve">Analysis</w:t>
      </w:r>
    </w:p>
    <w:bookmarkStart w:id="27" w:name="Xb79ef2114e22c716582b1350509f424c091adb2"/>
    <w:p>
      <w:pPr>
        <w:pStyle w:val="Heading1"/>
      </w:pPr>
      <w:r>
        <w:t xml:space="preserve">2023 Q4 Political Engagement &amp; Constituent Acquisition Report: Milan, Italy</w:t>
      </w:r>
    </w:p>
    <w:bookmarkStart w:id="20" w:name="executive-summary"/>
    <w:p>
      <w:pPr>
        <w:pStyle w:val="Heading2"/>
      </w:pPr>
      <w:r>
        <w:t xml:space="preserve">Executive Summary</w:t>
      </w:r>
    </w:p>
    <w:p>
      <w:pPr>
        <w:pStyle w:val="FirstParagraph"/>
      </w:pPr>
      <w:r>
        <w:t xml:space="preserve">This comprehensive sales performance report details the strategic outreach initiatives executed by the political campaign of Senator Marco Rossi during Q4 2023. The document serves as a critical market analysis tool for understanding constituent acquisition metrics, engagement velocity, and community conversion rates within Milan—a city representing Italy's economic and cultural epicenter. As Milan continues to drive national policy discussions through its unique blend of global business influence and local governance challenges, this report quantifies the effectiveness of our political "sales" methodology in converting public awareness into active voter support.</w:t>
      </w:r>
    </w:p>
    <w:bookmarkEnd w:id="20"/>
    <w:bookmarkStart w:id="21" w:name="Xfc6c6012fee7b7bed2d5984b4abdd48cfca3bf5"/>
    <w:p>
      <w:pPr>
        <w:pStyle w:val="Heading2"/>
      </w:pPr>
      <w:r>
        <w:t xml:space="preserve">Market Context: Why Milan Demands Strategic Political Sales Engineering</w:t>
      </w:r>
    </w:p>
    <w:p>
      <w:pPr>
        <w:pStyle w:val="FirstParagraph"/>
      </w:pPr>
      <w:r>
        <w:t xml:space="preserve">Italy's Lombardy region, with Milan as its undisputed capital of commerce and innovation, presents a distinct political sales landscape. Unlike rural constituencies where traditional campaigning suffices, Milan requires a sophisticated engagement model addressing high-density urban challenges: traffic congestion solutions (a 68% top concern in recent city surveys), sustainable mobility transitions (2025 carbon neutrality mandate), and business-friendly regulations for the 47% of Milanese enterprises operating internationally. This report confirms our campaign's tailored approach achieved exceptional results by treating constituent relationships as a premium "product" requiring personalized sales cycles—mirroring B2B enterprise sales strategies adapted to civic engagement.</w:t>
      </w:r>
    </w:p>
    <w:bookmarkEnd w:id="21"/>
    <w:bookmarkStart w:id="22" w:name="X396320349744ad71589e87f4d0f6d19ca537b1d"/>
    <w:p>
      <w:pPr>
        <w:pStyle w:val="Heading2"/>
      </w:pPr>
      <w:r>
        <w:t xml:space="preserve">Quantitative Campaign Performance Metrics</w:t>
      </w:r>
    </w:p>
    <w:p>
      <w:pPr>
        <w:pStyle w:val="FirstParagraph"/>
      </w:pPr>
      <w:r>
        <w:t xml:space="preserve">The Milan political sales dashboard reveals 37 key metrics exceeding industry benchmarks for Italian electoral campaigns. Most notably:</w:t>
      </w:r>
    </w:p>
    <w:p>
      <w:pPr>
        <w:numPr>
          <w:ilvl w:val="0"/>
          <w:numId w:val="1001"/>
        </w:numPr>
        <w:pStyle w:val="Compact"/>
      </w:pPr>
      <w:r>
        <w:rPr>
          <w:bCs/>
          <w:b/>
        </w:rPr>
        <w:t xml:space="preserve">Constituent Acquisition Rate:</w:t>
      </w:r>
      <w:r>
        <w:t xml:space="preserve"> </w:t>
      </w:r>
      <w:r>
        <w:t xml:space="preserve">41% growth in verified voter registrations (from 12,800 to 18,250) during Q4—a 3.2x higher velocity than regional averages in Lombardy. This metric directly correlates with our targeted digital "lead generation" campaigns focused on Galleria Vittorio Emanuele II and Navigli district foot traffic.</w:t>
      </w:r>
    </w:p>
    <w:p>
      <w:pPr>
        <w:numPr>
          <w:ilvl w:val="0"/>
          <w:numId w:val="1001"/>
        </w:numPr>
        <w:pStyle w:val="Compact"/>
      </w:pPr>
      <w:r>
        <w:rPr>
          <w:bCs/>
          <w:b/>
        </w:rPr>
        <w:t xml:space="preserve">Engagement Conversion Ratio:</w:t>
      </w:r>
      <w:r>
        <w:t xml:space="preserve"> </w:t>
      </w:r>
      <w:r>
        <w:t xml:space="preserve">68% of online interactions (social media, policy forums) resulted in tangible actions—such as signing petition pledges or attending town halls—compared to the national average of 42%. This success stems from our "consultative sales" model where every digital touchpoint offered personalized policy proposals based on user location data (e.g., presenting bike lane expansion plans to residents near Parco Sempione).</w:t>
      </w:r>
    </w:p>
    <w:p>
      <w:pPr>
        <w:numPr>
          <w:ilvl w:val="0"/>
          <w:numId w:val="1001"/>
        </w:numPr>
        <w:pStyle w:val="Compact"/>
      </w:pPr>
      <w:r>
        <w:rPr>
          <w:bCs/>
          <w:b/>
        </w:rPr>
        <w:t xml:space="preserve">Community Retention Score:</w:t>
      </w:r>
      <w:r>
        <w:t xml:space="preserve"> </w:t>
      </w:r>
      <w:r>
        <w:t xml:space="preserve">83% of new supporters demonstrated continued engagement through December, a critical metric for sustainable political "recurring revenue." This outperforms Milan’s political benchmarks by 27 points, achieved via our neighborhood "sales teams" (local volunteers) conducting quarterly in-person follow-ups—mirroring CRM retention strategies.</w:t>
      </w:r>
    </w:p>
    <w:bookmarkEnd w:id="22"/>
    <w:bookmarkStart w:id="23" w:name="X829ad5dbf5ea7cc5c0b47e3d356920c61780f36"/>
    <w:p>
      <w:pPr>
        <w:pStyle w:val="Heading2"/>
      </w:pPr>
      <w:r>
        <w:t xml:space="preserve">Strategic Analysis: The Milan Sales Playbook</w:t>
      </w:r>
    </w:p>
    <w:p>
      <w:pPr>
        <w:pStyle w:val="FirstParagraph"/>
      </w:pPr>
      <w:r>
        <w:t xml:space="preserve">Our campaign’s success in Italy's most competitive political market hinged on three adaptive sales principles:</w:t>
      </w:r>
    </w:p>
    <w:p>
      <w:pPr>
        <w:numPr>
          <w:ilvl w:val="0"/>
          <w:numId w:val="1002"/>
        </w:numPr>
        <w:pStyle w:val="Compact"/>
      </w:pPr>
      <w:r>
        <w:rPr>
          <w:bCs/>
          <w:b/>
        </w:rPr>
        <w:t xml:space="preserve">Hyper-Localization as Core Sales Strategy:</w:t>
      </w:r>
      <w:r>
        <w:t xml:space="preserve"> </w:t>
      </w:r>
      <w:r>
        <w:t xml:space="preserve">Instead of generic "Italy-wide" messaging, every communication referenced Milan-specific pain points. A digital ad campaign for the Porta Nuova district highlighted construction delays (a key concern for 31% of local businesses), while a press release on Duomo Square focused on tourism revenue recovery. This localized approach drove a 57% higher click-through rate than national-level content.</w:t>
      </w:r>
    </w:p>
    <w:p>
      <w:pPr>
        <w:numPr>
          <w:ilvl w:val="0"/>
          <w:numId w:val="1002"/>
        </w:numPr>
        <w:pStyle w:val="Compact"/>
      </w:pPr>
      <w:r>
        <w:rPr>
          <w:bCs/>
          <w:b/>
        </w:rPr>
        <w:t xml:space="preserve">Trust-Building Through Transparent "Product" Demos:</w:t>
      </w:r>
      <w:r>
        <w:t xml:space="preserve"> </w:t>
      </w:r>
      <w:r>
        <w:t xml:space="preserve">We hosted live policy "product demos" at Milan’s Expo City venue, where constituents could test proposed solutions virtually (e.g., simulating traffic flow changes in Piazzale Cadorna). This experiential sales technique converted 52% of attendees into active campaign volunteers—surpassing traditional town hall conversion rates by 3.8x.</w:t>
      </w:r>
    </w:p>
    <w:p>
      <w:pPr>
        <w:numPr>
          <w:ilvl w:val="0"/>
          <w:numId w:val="1002"/>
        </w:numPr>
        <w:pStyle w:val="Compact"/>
      </w:pPr>
      <w:r>
        <w:rPr>
          <w:bCs/>
          <w:b/>
        </w:rPr>
        <w:t xml:space="preserve">High-Value Community Integration:</w:t>
      </w:r>
      <w:r>
        <w:t xml:space="preserve"> </w:t>
      </w:r>
      <w:r>
        <w:t xml:space="preserve">Unlike standard political campaigns, we positioned Senator Rossi as a "trusted advisor" rather than a candidate. Our team embedded with Milanese business associations (Confcommercio Milano) and cultural hubs like La Scala Theater, creating organic sales channels where policy discussions naturally occurred during existing community events—reducing perceived "sales pressure."</w:t>
      </w:r>
    </w:p>
    <w:bookmarkEnd w:id="23"/>
    <w:bookmarkStart w:id="24" w:name="Xbd65711768af7f3e27b6259a6a55740c393b838"/>
    <w:p>
      <w:pPr>
        <w:pStyle w:val="Heading2"/>
      </w:pPr>
      <w:r>
        <w:t xml:space="preserve">Competitive Positioning: Outperforming Milan’s Political Sales Landscape</w:t>
      </w:r>
    </w:p>
    <w:p>
      <w:pPr>
        <w:pStyle w:val="FirstParagraph"/>
      </w:pPr>
      <w:r>
        <w:t xml:space="preserve">Analysis confirms our campaign outperformed all major opposition candidates in Milan's political sales ecosystem. While rival campaigns relied on mass mailers (resulting in 15% open rates), our targeted digital sales funnel achieved 48% engagement. More significantly, we dominated the "high-value constituent" segment—defined as business owners and professionals earning over €65k annually (39% of Milan’s electorate). Our tailored policy packages for this demographic drove a 71% support rate in focus groups, compared to opponents’ average of 47%. This success proves that treating politics as a consultative sales process—rather than transactional campaigning—is essential for winning Milan's sophisticated market.</w:t>
      </w:r>
    </w:p>
    <w:bookmarkEnd w:id="24"/>
    <w:bookmarkStart w:id="25" w:name="X729c8fcc4212fd6f5ee72df966c9406c652d615"/>
    <w:p>
      <w:pPr>
        <w:pStyle w:val="Heading2"/>
      </w:pPr>
      <w:r>
        <w:t xml:space="preserve">Future Sales Strategy: Scaling Milan’s Winning Formula</w:t>
      </w:r>
    </w:p>
    <w:p>
      <w:pPr>
        <w:pStyle w:val="FirstParagraph"/>
      </w:pPr>
      <w:r>
        <w:t xml:space="preserve">To maintain momentum into 2024, we recommend three immediate actions based on our Q4 sales insights:</w:t>
      </w:r>
    </w:p>
    <w:p>
      <w:pPr>
        <w:numPr>
          <w:ilvl w:val="0"/>
          <w:numId w:val="1003"/>
        </w:numPr>
        <w:pStyle w:val="Compact"/>
      </w:pPr>
      <w:r>
        <w:rPr>
          <w:bCs/>
          <w:b/>
        </w:rPr>
        <w:t xml:space="preserve">Deploy AI-Powered Constituent "Sales Funnel" Tools:</w:t>
      </w:r>
      <w:r>
        <w:t xml:space="preserve"> </w:t>
      </w:r>
      <w:r>
        <w:t xml:space="preserve">Implement predictive analytics to identify high-intent voters in Milan’s 15 most active neighborhoods (e.g., Brera, Bocconi), enabling proactive outreach before issues escalate. This targets the "sales window" when civic frustrations peak (typically post-December tax season).</w:t>
      </w:r>
    </w:p>
    <w:p>
      <w:pPr>
        <w:numPr>
          <w:ilvl w:val="0"/>
          <w:numId w:val="1003"/>
        </w:numPr>
        <w:pStyle w:val="Compact"/>
      </w:pPr>
      <w:r>
        <w:rPr>
          <w:bCs/>
          <w:b/>
        </w:rPr>
        <w:t xml:space="preserve">Launch Milan-Specific Policy "Product Lines":</w:t>
      </w:r>
      <w:r>
        <w:t xml:space="preserve"> </w:t>
      </w:r>
      <w:r>
        <w:t xml:space="preserve">Develop specialized policy suites: one for Milan’s 250,000+ foreign business residents ("International Business Package"), another for elderly citizens (19% of population), and a youth-focused initiative. This mirrors successful B2B segmentation models in Lombardy's corporate sector.</w:t>
      </w:r>
    </w:p>
    <w:p>
      <w:pPr>
        <w:numPr>
          <w:ilvl w:val="0"/>
          <w:numId w:val="1003"/>
        </w:numPr>
        <w:pStyle w:val="Compact"/>
      </w:pPr>
      <w:r>
        <w:rPr>
          <w:bCs/>
          <w:b/>
        </w:rPr>
        <w:t xml:space="preserve">Forge Partnerships with Milan’s Economic "Sales Channels":</w:t>
      </w:r>
      <w:r>
        <w:t xml:space="preserve"> </w:t>
      </w:r>
      <w:r>
        <w:t xml:space="preserve">Collaborate with major Milanese institutions like Finanza e Mercati (Milan Stock Exchange) and City Council committees to co-host policy events. These partnerships function as trusted third-party sales channels, reducing campaign skepticism.</w:t>
      </w:r>
    </w:p>
    <w:bookmarkEnd w:id="25"/>
    <w:bookmarkStart w:id="26" w:name="X603a488bf3a541650fce3cffe5b160577506003"/>
    <w:p>
      <w:pPr>
        <w:pStyle w:val="Heading2"/>
      </w:pPr>
      <w:r>
        <w:t xml:space="preserve">Conclusion: The Milan Imperative for Political Sales Excellence</w:t>
      </w:r>
    </w:p>
    <w:p>
      <w:pPr>
        <w:pStyle w:val="FirstParagraph"/>
      </w:pPr>
      <w:r>
        <w:t xml:space="preserve">This report conclusively demonstrates that political success in Milan demands a sophisticated sales mindset—not merely campaigning. By treating voter engagement as a premium product requiring tailored acquisition strategies, our campaign achieved record-breaking metrics across every KPI. As Italy’s most dynamic city, Milan sets the standard for how politicians must operate: with sales discipline, localized intelligence, and community-centric value delivery. The data confirms that in the high-stakes market of Italy’s political landscape—where Milan remains the decisive battleground—the future belongs to those who master political sales engineering. This Q4 performance positions Senator Rossi not just as a candidate, but as Milan’s most strategically sound political investment.</w:t>
      </w:r>
    </w:p>
    <w:p>
      <w:pPr>
        <w:pStyle w:val="BodyText"/>
      </w:pPr>
      <w:r>
        <w:rPr>
          <w:iCs/>
          <w:i/>
        </w:rPr>
        <w:t xml:space="preserve">Prepared for: Electoral Strategy Committee, Lombardy Regional Office | Date: 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Performance Report: Milan Market Analysis</dc:title>
  <dc:creator/>
  <dc:language>en</dc:language>
  <cp:keywords/>
  <dcterms:created xsi:type="dcterms:W3CDTF">2026-07-21T14:53:51Z</dcterms:created>
  <dcterms:modified xsi:type="dcterms:W3CDTF">2026-07-21T14:53:51Z</dcterms:modified>
</cp:coreProperties>
</file>

<file path=docProps/custom.xml><?xml version="1.0" encoding="utf-8"?>
<Properties xmlns="http://schemas.openxmlformats.org/officeDocument/2006/custom-properties" xmlns:vt="http://schemas.openxmlformats.org/officeDocument/2006/docPropsVTypes"/>
</file>