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8" w:name="X0531f5c99dc09553a9a48100ca910b01d13a84f"/>
    <w:p>
      <w:pPr>
        <w:pStyle w:val="Heading1"/>
      </w:pPr>
      <w:r>
        <w:t xml:space="preserve">Sales Report: Strategic Performance and Political Engagement in Ivory Coast Abidjan Market</w:t>
      </w:r>
    </w:p>
    <w:p>
      <w:pPr>
        <w:pStyle w:val="FirstParagraph"/>
      </w:pPr>
      <w:r>
        <w:rPr>
          <w:bCs/>
          <w:b/>
        </w:rPr>
        <w:t xml:space="preserve">Prepared For:</w:t>
      </w:r>
      <w:r>
        <w:t xml:space="preserve"> </w:t>
      </w:r>
      <w:r>
        <w:t xml:space="preserve">Executive Leadership, Global Sales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Purpose:</w:t>
      </w:r>
      <w:r>
        <w:t xml:space="preserve"> </w:t>
      </w:r>
      <w:r>
        <w:t xml:space="preserve">Comprehensive analysis of sales performance, market dynamics, and political engagement strategies in Abidjan, Ivory Coast.</w:t>
      </w:r>
    </w:p>
    <w:bookmarkStart w:id="20" w:name="executive-summary"/>
    <w:p>
      <w:pPr>
        <w:pStyle w:val="Heading2"/>
      </w:pPr>
      <w:r>
        <w:t xml:space="preserve">Executive Summary</w:t>
      </w:r>
    </w:p>
    <w:p>
      <w:pPr>
        <w:pStyle w:val="FirstParagraph"/>
      </w:pPr>
      <w:r>
        <w:t xml:space="preserve">This Sales Report details the remarkable Q3 performance of our multinational consumer goods division operating within Ivory Coast's economic hub—Abidjan. Despite complex political landscapes across West Africa, our sales team achieved a 19.7% year-over-year growth in Abidjan, securing a market leadership position with 34% brand penetration in key urban zones. The pivotal factor underpinning this success was our strategic engagement with local governmental stakeholders, including proactive dialogue with influential politicians to align business initiatives with national development frameworks. This report demonstrates how ethical political collaboration—not mere transactional relationships—has become integral to sustainable sales growth in Ivory Coast Abidjan.</w:t>
      </w:r>
    </w:p>
    <w:bookmarkEnd w:id="20"/>
    <w:bookmarkStart w:id="21" w:name="market-performance-overview"/>
    <w:p>
      <w:pPr>
        <w:pStyle w:val="Heading2"/>
      </w:pPr>
      <w:r>
        <w:t xml:space="preserve">Market Performance Overview</w:t>
      </w:r>
    </w:p>
    <w:p>
      <w:pPr>
        <w:pStyle w:val="FirstParagraph"/>
      </w:pPr>
      <w:r>
        <w:t xml:space="preserve">Abidjan's economy grew at 6.1% annually (World Bank, 2023), driven by infrastructure investments and agricultural exports. Our Q3 sales reached $14.8M in Abidjan—surpassing the $12.4M target—primarily through accelerated distribution in high-density neighborhoods like Cocody, Treichville, and Yopougon. Key drivers included:</w:t>
      </w:r>
    </w:p>
    <w:p>
      <w:pPr>
        <w:numPr>
          <w:ilvl w:val="0"/>
          <w:numId w:val="1001"/>
        </w:numPr>
        <w:pStyle w:val="Compact"/>
      </w:pPr>
      <w:r>
        <w:rPr>
          <w:bCs/>
          <w:b/>
        </w:rPr>
        <w:t xml:space="preserve">Product Innovation:</w:t>
      </w:r>
      <w:r>
        <w:t xml:space="preserve"> </w:t>
      </w:r>
      <w:r>
        <w:t xml:space="preserve">Launch of "Eco-Power" line (solar-powered home appliances) captured 28% market share in the energy sector</w:t>
      </w:r>
    </w:p>
    <w:p>
      <w:pPr>
        <w:numPr>
          <w:ilvl w:val="0"/>
          <w:numId w:val="1001"/>
        </w:numPr>
        <w:pStyle w:val="Compact"/>
      </w:pPr>
      <w:r>
        <w:rPr>
          <w:bCs/>
          <w:b/>
        </w:rPr>
        <w:t xml:space="preserve">Digital Expansion:</w:t>
      </w:r>
      <w:r>
        <w:t xml:space="preserve"> </w:t>
      </w:r>
      <w:r>
        <w:t xml:space="preserve">Mobile commerce adoption grew by 41% via partnerships with MTN Ivory Coast</w:t>
      </w:r>
    </w:p>
    <w:p>
      <w:pPr>
        <w:numPr>
          <w:ilvl w:val="0"/>
          <w:numId w:val="1001"/>
        </w:numPr>
        <w:pStyle w:val="Compact"/>
      </w:pPr>
      <w:r>
        <w:rPr>
          <w:bCs/>
          <w:b/>
        </w:rPr>
        <w:t xml:space="preserve">Government Partnerships:</w:t>
      </w:r>
      <w:r>
        <w:t xml:space="preserve"> </w:t>
      </w:r>
      <w:r>
        <w:t xml:space="preserve">Collaborative programs with the Ministry of Economy facilitated tax incentives for local manufacturing</w:t>
      </w:r>
    </w:p>
    <w:bookmarkEnd w:id="21"/>
    <w:bookmarkStart w:id="22" w:name="Xf9e81ea21257eaed75be19801274dacf653c840"/>
    <w:p>
      <w:pPr>
        <w:pStyle w:val="Heading2"/>
      </w:pPr>
      <w:r>
        <w:t xml:space="preserve">The Critical Role of Political Engagement in Sales Strategy</w:t>
      </w:r>
    </w:p>
    <w:p>
      <w:pPr>
        <w:pStyle w:val="FirstParagraph"/>
      </w:pPr>
      <w:r>
        <w:t xml:space="preserve">A common misconception is that business success in Abidjan depends solely on market conditions. Our data reveals a deeper truth: sales performance directly correlates with strategic political intelligence. In Q3, we implemented a dedicated "Political Intelligence Unit" to navigate Ivory Coast's unique governance structure. This team—comprising local legal experts and former government officials—monitored policy shifts affecting trade regulations, customs procedures, and import quotas.</w:t>
      </w:r>
    </w:p>
    <w:p>
      <w:pPr>
        <w:pStyle w:val="BodyText"/>
      </w:pPr>
      <w:r>
        <w:t xml:space="preserve">Our engagement with a coalition of politicians proved transformative. When the Minister of Commerce proposed new food safety legislation (Law No. 2023-41), our team immediately convened with key legislators to co-develop compliance protocols. This preemptive collaboration:</w:t>
      </w:r>
    </w:p>
    <w:p>
      <w:pPr>
        <w:numPr>
          <w:ilvl w:val="0"/>
          <w:numId w:val="1002"/>
        </w:numPr>
        <w:pStyle w:val="Compact"/>
      </w:pPr>
      <w:r>
        <w:t xml:space="preserve">Avoided $850K in potential compliance penalties</w:t>
      </w:r>
    </w:p>
    <w:p>
      <w:pPr>
        <w:numPr>
          <w:ilvl w:val="0"/>
          <w:numId w:val="1002"/>
        </w:numPr>
        <w:pStyle w:val="Compact"/>
      </w:pPr>
      <w:r>
        <w:t xml:space="preserve">Accelerated product approvals by 37 days</w:t>
      </w:r>
    </w:p>
    <w:p>
      <w:pPr>
        <w:numPr>
          <w:ilvl w:val="0"/>
          <w:numId w:val="1002"/>
        </w:numPr>
        <w:pStyle w:val="Compact"/>
      </w:pPr>
      <w:r>
        <w:t xml:space="preserve">Enabled joint promotion of "Ivory Coast Quality" certification with the Minister's office</w:t>
      </w:r>
    </w:p>
    <w:p>
      <w:pPr>
        <w:pStyle w:val="FirstParagraph"/>
      </w:pPr>
      <w:r>
        <w:t xml:space="preserve">This approach exemplifies how a responsible politician relationship—focused on mutual national benefit rather than favor-seeking—creates sales momentum. As one senior executive noted, "In Ivory Coast Abidjan, you don't just sell products; you partner in nation-building." Our Q3 partnership with the National Assembly's Economic Development Committee resulted in exclusive distribution rights for government procurement contracts.</w:t>
      </w:r>
    </w:p>
    <w:bookmarkEnd w:id="22"/>
    <w:bookmarkStart w:id="23" w:name="challenges-and-political-risk-mitigation"/>
    <w:p>
      <w:pPr>
        <w:pStyle w:val="Heading2"/>
      </w:pPr>
      <w:r>
        <w:t xml:space="preserve">Challenges and Political Risk Mitigation</w:t>
      </w:r>
    </w:p>
    <w:p>
      <w:pPr>
        <w:pStyle w:val="FirstParagraph"/>
      </w:pPr>
      <w:r>
        <w:t xml:space="preserve">Operating in a dynamic political environment presented challenges requiring nuanced solutions. During July 2023, a brief political impasse between the Ministry of Trade and local manufacturers threatened to disrupt supply chains. Our Political Intelligence Unit identified this risk through weekly engagement with parliamentary committees, enabling us to:</w:t>
      </w:r>
    </w:p>
    <w:p>
      <w:pPr>
        <w:numPr>
          <w:ilvl w:val="0"/>
          <w:numId w:val="1003"/>
        </w:numPr>
        <w:pStyle w:val="Compact"/>
      </w:pPr>
      <w:r>
        <w:t xml:space="preserve">Propose alternative logistics corridors within 72 hours</w:t>
      </w:r>
    </w:p>
    <w:p>
      <w:pPr>
        <w:numPr>
          <w:ilvl w:val="0"/>
          <w:numId w:val="1003"/>
        </w:numPr>
        <w:pStyle w:val="Compact"/>
      </w:pPr>
      <w:r>
        <w:t xml:space="preserve">Host a roundtable with mayors across Abidjan's industrial zones</w:t>
      </w:r>
    </w:p>
    <w:p>
      <w:pPr>
        <w:numPr>
          <w:ilvl w:val="0"/>
          <w:numId w:val="1003"/>
        </w:numPr>
        <w:pStyle w:val="Compact"/>
      </w:pPr>
      <w:r>
        <w:t xml:space="preserve">Secure a presidential decree (Decree No. 2023-118) exempting essential goods from temporary customs holds</w:t>
      </w:r>
    </w:p>
    <w:p>
      <w:pPr>
        <w:pStyle w:val="FirstParagraph"/>
      </w:pPr>
      <w:r>
        <w:t xml:space="preserve">This intervention prevented $2.3M in potential revenue loss and cemented our reputation as a politically astute business partner. It also reinforced our core principle: A politician's influence must always serve market access, not circumvent it.</w:t>
      </w:r>
    </w:p>
    <w:bookmarkEnd w:id="23"/>
    <w:bookmarkStart w:id="24" w:name="sales-channel-expansion-strategy"/>
    <w:p>
      <w:pPr>
        <w:pStyle w:val="Heading2"/>
      </w:pPr>
      <w:r>
        <w:t xml:space="preserve">Sales Channel Expansion Strategy</w:t>
      </w:r>
    </w:p>
    <w:p>
      <w:pPr>
        <w:pStyle w:val="FirstParagraph"/>
      </w:pPr>
      <w:r>
        <w:t xml:space="preserve">Our Abidjan sales network now comprises 147 authorized dealers—up from 89 in Q1—with special emphasis on inclusive growth:</w:t>
      </w:r>
    </w:p>
    <w:p>
      <w:pPr>
        <w:numPr>
          <w:ilvl w:val="0"/>
          <w:numId w:val="1004"/>
        </w:numPr>
        <w:pStyle w:val="Compact"/>
      </w:pPr>
      <w:r>
        <w:rPr>
          <w:bCs/>
          <w:b/>
        </w:rPr>
        <w:t xml:space="preserve">Women-Owned Dealerships:</w:t>
      </w:r>
      <w:r>
        <w:t xml:space="preserve"> </w:t>
      </w:r>
      <w:r>
        <w:t xml:space="preserve">32 new franchises for female entrepreneurs, supported through a $500K partnership with the Minister of Gender Equality</w:t>
      </w:r>
    </w:p>
    <w:p>
      <w:pPr>
        <w:numPr>
          <w:ilvl w:val="0"/>
          <w:numId w:val="1004"/>
        </w:numPr>
        <w:pStyle w:val="Compact"/>
      </w:pPr>
      <w:r>
        <w:rPr>
          <w:bCs/>
          <w:b/>
        </w:rPr>
        <w:t xml:space="preserve">Rural Outposts:</w:t>
      </w:r>
      <w:r>
        <w:t xml:space="preserve"> </w:t>
      </w:r>
      <w:r>
        <w:t xml:space="preserve">19 new distribution centers in peri-urban zones (e.g., Bingerville, Adjamé), facilitated by mayoral agreements</w:t>
      </w:r>
    </w:p>
    <w:p>
      <w:pPr>
        <w:numPr>
          <w:ilvl w:val="0"/>
          <w:numId w:val="1004"/>
        </w:numPr>
        <w:pStyle w:val="Compact"/>
      </w:pPr>
      <w:r>
        <w:rPr>
          <w:bCs/>
          <w:b/>
        </w:rPr>
        <w:t xml:space="preserve">Social Impact Alignment:</w:t>
      </w:r>
      <w:r>
        <w:t xml:space="preserve"> </w:t>
      </w:r>
      <w:r>
        <w:t xml:space="preserve">"Sales for Schools" program—donating 2% of Q3 revenue to public education—endorsed by the Minister of Education</w:t>
      </w:r>
    </w:p>
    <w:p>
      <w:pPr>
        <w:pStyle w:val="FirstParagraph"/>
      </w:pPr>
      <w:r>
        <w:t xml:space="preserve">This model directly ties commercial success to civic progress, making our sales efforts more politically sustainable. The Governor of Abidjan publicly praised our initiative as "a blueprint for private-public synergy."</w:t>
      </w:r>
    </w:p>
    <w:bookmarkEnd w:id="24"/>
    <w:bookmarkStart w:id="25" w:name="X16fcf826461fbcf4209eb5232b53c011557ebef"/>
    <w:p>
      <w:pPr>
        <w:pStyle w:val="Heading2"/>
      </w:pPr>
      <w:r>
        <w:t xml:space="preserve">Political Intelligence Metrics Driving Sales</w:t>
      </w:r>
    </w:p>
    <w:p>
      <w:pPr>
        <w:pStyle w:val="FirstParagraph"/>
      </w:pPr>
      <w:r>
        <w:t xml:space="preserve">We've developed proprietary metrics quantifying political engagement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Political Engagement Metric</w:t>
            </w:r>
          </w:p>
        </w:tc>
        <w:tc>
          <w:tcPr/>
          <w:p>
            <w:pPr>
              <w:pStyle w:val="Compact"/>
              <w:jc w:val="left"/>
            </w:pPr>
            <w:r>
              <w:t xml:space="preserve">Q3 Value</w:t>
            </w:r>
          </w:p>
        </w:tc>
        <w:tc>
          <w:tcPr/>
          <w:p>
            <w:pPr>
              <w:pStyle w:val="Compact"/>
              <w:jc w:val="left"/>
            </w:pPr>
            <w:r>
              <w:t xml:space="preserve">Sales Impact</w:t>
            </w:r>
          </w:p>
        </w:tc>
      </w:tr>
      <w:tr>
        <w:tc>
          <w:tcPr/>
          <w:p>
            <w:pPr>
              <w:pStyle w:val="Compact"/>
              <w:jc w:val="left"/>
            </w:pPr>
            <w:r>
              <w:t xml:space="preserve">Government Policy Compliance Rate</w:t>
            </w:r>
          </w:p>
        </w:tc>
        <w:tc>
          <w:tcPr/>
          <w:p>
            <w:pPr>
              <w:pStyle w:val="Compact"/>
              <w:jc w:val="left"/>
            </w:pPr>
            <w:r>
              <w:t xml:space="preserve">98.7%</w:t>
            </w:r>
          </w:p>
        </w:tc>
        <w:tc>
          <w:tcPr/>
          <w:p>
            <w:pPr>
              <w:pStyle w:val="Compact"/>
              <w:jc w:val="left"/>
            </w:pPr>
            <w:r>
              <w:t xml:space="preserve">+14.2% faster market entry</w:t>
            </w:r>
          </w:p>
        </w:tc>
      </w:tr>
      <w:tr>
        <w:tc>
          <w:tcPr/>
          <w:p>
            <w:pPr>
              <w:pStyle w:val="Compact"/>
              <w:jc w:val="left"/>
            </w:pPr>
            <w:r>
              <w:t xml:space="preserve">Parliamentary Committee Influence Index</w:t>
            </w:r>
          </w:p>
        </w:tc>
        <w:tc>
          <w:tcPr/>
          <w:p>
            <w:pPr>
              <w:pStyle w:val="Compact"/>
              <w:jc w:val="left"/>
            </w:pPr>
            <w:r>
              <w:t xml:space="preserve">0.86 (scale 0-1)</w:t>
            </w:r>
          </w:p>
        </w:tc>
        <w:tc>
          <w:tcPr/>
          <w:p>
            <w:pPr>
              <w:pStyle w:val="Compact"/>
              <w:jc w:val="left"/>
            </w:pPr>
            <w:r>
              <w:t xml:space="preserve">+23% higher approval rates for new products</w:t>
            </w:r>
          </w:p>
        </w:tc>
      </w:tr>
      <w:tr>
        <w:tc>
          <w:tcPr/>
          <w:p>
            <w:pPr>
              <w:pStyle w:val="Compact"/>
              <w:jc w:val="left"/>
            </w:pPr>
            <w:r>
              <w:t xml:space="preserve">Civic Partnership ROI</w:t>
            </w:r>
          </w:p>
        </w:tc>
        <w:tc>
          <w:tcPr/>
          <w:p>
            <w:pPr>
              <w:pStyle w:val="Compact"/>
              <w:jc w:val="left"/>
            </w:pPr>
            <w:r>
              <w:t xml:space="preserve">$4.35 per $1 invested</w:t>
            </w:r>
          </w:p>
        </w:tc>
        <w:tc>
          <w:tcPr/>
          <w:p>
            <w:pPr>
              <w:pStyle w:val="Compact"/>
              <w:jc w:val="left"/>
            </w:pPr>
            <w:r>
              <w:t xml:space="preserve">27% increase in community trust metrics</w:t>
            </w:r>
          </w:p>
        </w:tc>
      </w:tr>
    </w:tbl>
    <w:bookmarkEnd w:id="25"/>
    <w:bookmarkStart w:id="26" w:name="strategic-recommendations-for-q4-2023"/>
    <w:p>
      <w:pPr>
        <w:pStyle w:val="Heading2"/>
      </w:pPr>
      <w:r>
        <w:t xml:space="preserve">Strategic Recommendations for Q4 2023</w:t>
      </w:r>
    </w:p>
    <w:p>
      <w:pPr>
        <w:numPr>
          <w:ilvl w:val="0"/>
          <w:numId w:val="1005"/>
        </w:numPr>
        <w:pStyle w:val="Compact"/>
      </w:pPr>
      <w:r>
        <w:rPr>
          <w:bCs/>
          <w:b/>
        </w:rPr>
        <w:t xml:space="preserve">Deepen Political Collaboration:</w:t>
      </w:r>
      <w:r>
        <w:t xml:space="preserve"> </w:t>
      </w:r>
      <w:r>
        <w:t xml:space="preserve">Formalize a "Business &amp; Government Advisory Council" with Abidjan's mayors and national legislators to co-design economic initiatives.</w:t>
      </w:r>
    </w:p>
    <w:p>
      <w:pPr>
        <w:numPr>
          <w:ilvl w:val="0"/>
          <w:numId w:val="1005"/>
        </w:numPr>
        <w:pStyle w:val="Compact"/>
      </w:pPr>
      <w:r>
        <w:rPr>
          <w:bCs/>
          <w:b/>
        </w:rPr>
        <w:t xml:space="preserve">Leverage Electoral Cycles:</w:t>
      </w:r>
      <w:r>
        <w:t xml:space="preserve"> </w:t>
      </w:r>
      <w:r>
        <w:t xml:space="preserve">Align product launches with national infrastructure projects (e.g., Abidjan Metro Phase 2) to position our brand as a development partner.</w:t>
      </w:r>
    </w:p>
    <w:p>
      <w:pPr>
        <w:numPr>
          <w:ilvl w:val="0"/>
          <w:numId w:val="1005"/>
        </w:numPr>
        <w:pStyle w:val="Compact"/>
      </w:pPr>
      <w:r>
        <w:rPr>
          <w:bCs/>
          <w:b/>
        </w:rPr>
        <w:t xml:space="preserve">Enhance Local Governance Training:</w:t>
      </w:r>
      <w:r>
        <w:t xml:space="preserve"> </w:t>
      </w:r>
      <w:r>
        <w:t xml:space="preserve">Launch "Sales Leadership in Governance" program for senior staff, focusing on ethical political engagement within Ivory Coast's legal framework.</w:t>
      </w:r>
    </w:p>
    <w:p>
      <w:pPr>
        <w:pStyle w:val="FirstParagraph"/>
      </w:pPr>
      <w:r>
        <w:t xml:space="preserve">The ultimate objective isn't merely transactional success—it's becoming a trusted institutional partner where every sales interaction reflects Ivory Coast Abidjan's aspirations. As our Managing Director stated during the Q3 stakeholder summit: "In this market, the most effective politician is one who enables business growth for all stakeholders."</w:t>
      </w:r>
    </w:p>
    <w:bookmarkEnd w:id="26"/>
    <w:bookmarkStart w:id="27" w:name="conclusion"/>
    <w:p>
      <w:pPr>
        <w:pStyle w:val="Heading2"/>
      </w:pPr>
      <w:r>
        <w:t xml:space="preserve">Conclusion</w:t>
      </w:r>
    </w:p>
    <w:p>
      <w:pPr>
        <w:pStyle w:val="FirstParagraph"/>
      </w:pPr>
      <w:r>
        <w:t xml:space="preserve">This Sales Report underscores a fundamental truth for operating in Ivory Coast: commercial success is inextricably linked to political intelligence and ethical engagement. Our 19.7% Q3 growth stems not from market luck, but from transforming the relationship between business and governance into a shared economic engine. By treating politicians as strategic partners in national progress—not obstacles to navigate—we've created sustainable sales momentum that benefits Abidjan's economy, our customers, and our shareholders.</w:t>
      </w:r>
    </w:p>
    <w:p>
      <w:pPr>
        <w:pStyle w:val="BodyText"/>
      </w:pPr>
      <w:r>
        <w:t xml:space="preserve">The path forward requires unwavering commitment to transparency and local partnership. As Ivory Coast continues its remarkable development journey, this Sales Report confirms that businesses thriving in Abidjan must embrace politics as a catalyst for growth—where every engagement with a politician becomes an investment in the market's future.</w:t>
      </w:r>
    </w:p>
    <w:p>
      <w:pPr>
        <w:pStyle w:val="BodyText"/>
      </w:pPr>
      <w:r>
        <w:rPr>
          <w:iCs/>
          <w:i/>
        </w:rPr>
        <w:t xml:space="preserve">Appendix: All political engagement activities strictly adhered to Ivory Coast's Anti-Corruption Code (2019) and global compliance standards. No transactions were conducted without written government authorization.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Ivory Coast Abidjan Market Analysis</dc:title>
  <dc:creator/>
  <dc:language>en</dc:language>
  <cp:keywords/>
  <dcterms:created xsi:type="dcterms:W3CDTF">2026-07-23T20:07:25Z</dcterms:created>
  <dcterms:modified xsi:type="dcterms:W3CDTF">2026-07-23T20:07:25Z</dcterms:modified>
</cp:coreProperties>
</file>

<file path=docProps/custom.xml><?xml version="1.0" encoding="utf-8"?>
<Properties xmlns="http://schemas.openxmlformats.org/officeDocument/2006/custom-properties" xmlns:vt="http://schemas.openxmlformats.org/officeDocument/2006/docPropsVTypes"/>
</file>