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Kyoto</w:t>
      </w:r>
      <w:r>
        <w:t xml:space="preserve"> </w:t>
      </w:r>
      <w:r>
        <w:t xml:space="preserve">Political</w:t>
      </w:r>
      <w:r>
        <w:t xml:space="preserve"> </w:t>
      </w:r>
      <w:r>
        <w:t xml:space="preserve">Campaign</w:t>
      </w:r>
      <w:r>
        <w:t xml:space="preserve"> </w:t>
      </w:r>
      <w:r>
        <w:t xml:space="preserve">Sales</w:t>
      </w:r>
      <w:r>
        <w:t xml:space="preserve"> </w:t>
      </w:r>
      <w:r>
        <w:t xml:space="preserve">Report</w:t>
      </w:r>
    </w:p>
    <w:bookmarkStart w:id="28" w:name="Xd9777bec3a2854ee17ab0a2c4ad63764571a227"/>
    <w:p>
      <w:pPr>
        <w:pStyle w:val="Heading1"/>
      </w:pPr>
      <w:r>
        <w:t xml:space="preserve">SALES REPORT FOR POLITICAL CAMPAIGN MERCHANDISE IN JAPAN KYOTO</w:t>
      </w:r>
    </w:p>
    <w:p>
      <w:pPr>
        <w:pStyle w:val="FirstParagraph"/>
      </w:pPr>
      <w:r>
        <w:t xml:space="preserve">Prepared for the Kyoto Prefectural Political Advisory Council | October 26, 2023</w:t>
      </w:r>
    </w:p>
    <w:bookmarkStart w:id="20" w:name="executive-summary"/>
    <w:p>
      <w:pPr>
        <w:pStyle w:val="Heading2"/>
      </w:pPr>
      <w:r>
        <w:t xml:space="preserve">Executive Summary</w:t>
      </w:r>
    </w:p>
    <w:p>
      <w:pPr>
        <w:pStyle w:val="FirstParagraph"/>
      </w:pPr>
      <w:r>
        <w:t xml:space="preserve">This comprehensive Sales Report details the performance of political campaign merchandise sales across Kyoto Prefecture during the Q3 fiscal period (July-September 2023). The report focuses specifically on the campaign initiatives of Representative Akira Tanaka, a prominent Politician representing Kyoto's urban and rural constituencies. The data demonstrates exceptional growth in merchandise sales throughout Japan Kyoto, with a 47% year-over-year increase driven by culturally resonant products and strategic community engagement. This success underscores the growing importance of tangible campaign materials in modern Japanese political outreach within Kyoto's unique cultural landscape.</w:t>
      </w:r>
    </w:p>
    <w:bookmarkEnd w:id="20"/>
    <w:bookmarkStart w:id="21" w:name="market-context-strategic-positioning"/>
    <w:p>
      <w:pPr>
        <w:pStyle w:val="Heading2"/>
      </w:pPr>
      <w:r>
        <w:t xml:space="preserve">Market Context &amp; Strategic Positioning</w:t>
      </w:r>
    </w:p>
    <w:p>
      <w:pPr>
        <w:pStyle w:val="FirstParagraph"/>
      </w:pPr>
      <w:r>
        <w:t xml:space="preserve">In Japan Kyoto, where traditional community values intersect with contemporary political discourse, our Sales Report reveals that campaign merchandise serves as more than promotional material—it functions as a cultural touchstone. As the Politician recognized early in the campaign cycle, Kyoto's residents value authentic connections over generic advertising. Our strategic pivot toward locally meaningful products (inspired by Kyoto's tea ceremony traditions and historical motifs) directly addressed this cultural nuance. This approach transformed merchandise from transactional items into symbols of shared identity, particularly resonating with Kyoto's elderly demographics who constitute 38% of our primary market segment.</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 (Q3)</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Kyoto-Style Campaign Badges (Chawan-inspired design)</w:t>
            </w:r>
          </w:p>
        </w:tc>
        <w:tc>
          <w:tcPr/>
          <w:p>
            <w:pPr>
              <w:pStyle w:val="Compact"/>
              <w:jc w:val="left"/>
            </w:pPr>
            <w:r>
              <w:t xml:space="preserve">14,200</w:t>
            </w:r>
          </w:p>
        </w:tc>
        <w:tc>
          <w:tcPr/>
          <w:p>
            <w:pPr>
              <w:pStyle w:val="Compact"/>
              <w:jc w:val="left"/>
            </w:pPr>
            <w:r>
              <w:t xml:space="preserve">32%</w:t>
            </w:r>
          </w:p>
        </w:tc>
        <w:tc>
          <w:tcPr/>
          <w:p>
            <w:pPr>
              <w:pStyle w:val="Compact"/>
              <w:jc w:val="left"/>
            </w:pPr>
            <w:r>
              <w:t xml:space="preserve">+68%</w:t>
            </w:r>
          </w:p>
        </w:tc>
      </w:tr>
      <w:tr>
        <w:tc>
          <w:tcPr/>
          <w:p>
            <w:pPr>
              <w:pStyle w:val="Compact"/>
              <w:jc w:val="left"/>
            </w:pPr>
            <w:r>
              <w:t xml:space="preserve">Daimaru-Style Campaign Sashes (Traditional purple fabric)</w:t>
            </w:r>
          </w:p>
        </w:tc>
        <w:tc>
          <w:tcPr/>
          <w:p>
            <w:pPr>
              <w:pStyle w:val="Compact"/>
              <w:jc w:val="left"/>
            </w:pPr>
            <w:r>
              <w:t xml:space="preserve">9,850</w:t>
            </w:r>
          </w:p>
        </w:tc>
        <w:tc>
          <w:tcPr/>
          <w:p>
            <w:pPr>
              <w:pStyle w:val="Compact"/>
              <w:jc w:val="left"/>
            </w:pPr>
            <w:r>
              <w:t xml:space="preserve">22%</w:t>
            </w:r>
          </w:p>
        </w:tc>
        <w:tc>
          <w:tcPr/>
          <w:p>
            <w:pPr>
              <w:pStyle w:val="Compact"/>
              <w:jc w:val="left"/>
            </w:pPr>
            <w:r>
              <w:t xml:space="preserve">+53%</w:t>
            </w:r>
          </w:p>
        </w:tc>
      </w:tr>
      <w:tr>
        <w:tc>
          <w:tcPr/>
          <w:p>
            <w:pPr>
              <w:pStyle w:val="Compact"/>
              <w:jc w:val="left"/>
            </w:pPr>
            <w:r>
              <w:t xml:space="preserve">Tsukiji Market-Style Event Tote Bags</w:t>
            </w:r>
          </w:p>
        </w:tc>
        <w:tc>
          <w:tcPr/>
          <w:p>
            <w:pPr>
              <w:pStyle w:val="Compact"/>
              <w:jc w:val="left"/>
            </w:pPr>
            <w:r>
              <w:t xml:space="preserve">7,400</w:t>
            </w:r>
          </w:p>
        </w:tc>
        <w:tc>
          <w:tcPr/>
          <w:p>
            <w:pPr>
              <w:pStyle w:val="Compact"/>
              <w:jc w:val="left"/>
            </w:pPr>
            <w:r>
              <w:t xml:space="preserve">17%</w:t>
            </w:r>
          </w:p>
        </w:tc>
        <w:tc>
          <w:tcPr/>
          <w:p>
            <w:pPr>
              <w:pStyle w:val="Compact"/>
              <w:jc w:val="left"/>
            </w:pPr>
            <w:r>
              <w:t xml:space="preserve">+42%</w:t>
            </w:r>
          </w:p>
        </w:tc>
      </w:tr>
      <w:tr>
        <w:tc>
          <w:tcPr/>
          <w:p>
            <w:pPr>
              <w:pStyle w:val="Compact"/>
              <w:jc w:val="left"/>
            </w:pPr>
            <w:r>
              <w:t xml:space="preserve">Kyoto Castle-Embroidered Scarves</w:t>
            </w:r>
          </w:p>
        </w:tc>
        <w:tc>
          <w:tcPr/>
          <w:p>
            <w:pPr>
              <w:pStyle w:val="Compact"/>
              <w:jc w:val="left"/>
            </w:pPr>
            <w:r>
              <w:t xml:space="preserve">5,900</w:t>
            </w:r>
          </w:p>
        </w:tc>
        <w:tc>
          <w:tcPr/>
          <w:p>
            <w:pPr>
              <w:pStyle w:val="Compact"/>
              <w:jc w:val="left"/>
            </w:pPr>
            <w:r>
              <w:t xml:space="preserve">13%</w:t>
            </w:r>
          </w:p>
        </w:tc>
        <w:tc>
          <w:tcPr/>
          <w:p>
            <w:pPr>
              <w:pStyle w:val="Compact"/>
              <w:jc w:val="left"/>
            </w:pPr>
            <w:r>
              <w:t xml:space="preserve">+89%</w:t>
            </w:r>
          </w:p>
        </w:tc>
      </w:tr>
      <w:tr>
        <w:tc>
          <w:tcPr/>
          <w:p>
            <w:pPr>
              <w:pStyle w:val="Compact"/>
              <w:jc w:val="left"/>
            </w:pPr>
            <w:r>
              <w:t xml:space="preserve">Campaign Rice Paper Stationery Sets</w:t>
            </w:r>
          </w:p>
        </w:tc>
        <w:tc>
          <w:tcPr/>
          <w:p>
            <w:pPr>
              <w:pStyle w:val="Compact"/>
              <w:jc w:val="left"/>
            </w:pPr>
            <w:r>
              <w:t xml:space="preserve">4,650</w:t>
            </w:r>
          </w:p>
        </w:tc>
        <w:tc>
          <w:tcPr/>
          <w:p>
            <w:pPr>
              <w:pStyle w:val="Compact"/>
              <w:jc w:val="left"/>
            </w:pPr>
            <w:r>
              <w:t xml:space="preserve">10%</w:t>
            </w:r>
          </w:p>
        </w:tc>
        <w:tc>
          <w:tcPr/>
          <w:p>
            <w:pPr>
              <w:pStyle w:val="Compact"/>
              <w:jc w:val="left"/>
            </w:pPr>
            <w:r>
              <w:t xml:space="preserve">+31%</w:t>
            </w:r>
          </w:p>
        </w:tc>
      </w:tr>
      <w:tr>
        <w:tc>
          <w:tcPr/>
          <w:p>
            <w:pPr>
              <w:pStyle w:val="Compact"/>
              <w:jc w:val="left"/>
            </w:pPr>
            <w:r>
              <w:rPr>
                <w:bCs/>
                <w:b/>
              </w:rPr>
              <w:t xml:space="preserve">TOTAL</w:t>
            </w:r>
          </w:p>
        </w:tc>
        <w:tc>
          <w:tcPr/>
          <w:p>
            <w:pPr>
              <w:pStyle w:val="Compact"/>
              <w:jc w:val="left"/>
            </w:pPr>
            <w:r>
              <w:rPr>
                <w:bCs/>
                <w:b/>
              </w:rPr>
              <w:t xml:space="preserve">42,000</w:t>
            </w:r>
          </w:p>
        </w:tc>
        <w:tc>
          <w:tcPr/>
          <w:p>
            <w:pPr>
              <w:pStyle w:val="Compact"/>
              <w:jc w:val="left"/>
            </w:pPr>
            <w:r>
              <w:rPr>
                <w:bCs/>
                <w:b/>
              </w:rPr>
              <w:t xml:space="preserve">100%</w:t>
            </w:r>
          </w:p>
        </w:tc>
        <w:tc>
          <w:tcPr/>
          <w:p>
            <w:pPr>
              <w:pStyle w:val="Compact"/>
              <w:jc w:val="left"/>
            </w:pPr>
            <w:r>
              <w:rPr>
                <w:bCs/>
                <w:b/>
              </w:rPr>
              <w:t xml:space="preserve">+47% YoY</w:t>
            </w:r>
          </w:p>
        </w:tc>
      </w:tr>
    </w:tbl>
    <w:p>
      <w:pPr>
        <w:pStyle w:val="BodyText"/>
      </w:pPr>
      <w:r>
        <w:t xml:space="preserve">The Sales Report further indicates that Kyoto's distinct market responded particularly well to products integrating traditional craftsmanship. The "Chawan-inspired" badges (reminiscent of Kyoto's famous tea ceremony bowls) became the top-selling item, with 78% of purchases occurring at community centers in Gion and Arashiyama districts. This directly reflects the Politician's focus on grassroots engagement through cultural venues—a strategy that outperformed standard campaign events by 34% in attendee conversion rates.</w:t>
      </w:r>
    </w:p>
    <w:bookmarkEnd w:id="22"/>
    <w:bookmarkStart w:id="23" w:name="geographic-sales-analysis"/>
    <w:p>
      <w:pPr>
        <w:pStyle w:val="Heading2"/>
      </w:pPr>
      <w:r>
        <w:t xml:space="preserve">Geographic Sales Analysis</w:t>
      </w:r>
    </w:p>
    <w:p>
      <w:pPr>
        <w:pStyle w:val="FirstParagraph"/>
      </w:pPr>
      <w:r>
        <w:t xml:space="preserve">Japan Kyoto's sales distribution reveals compelling regional patterns. The data shows:</w:t>
      </w:r>
    </w:p>
    <w:p>
      <w:pPr>
        <w:numPr>
          <w:ilvl w:val="0"/>
          <w:numId w:val="1001"/>
        </w:numPr>
        <w:pStyle w:val="Compact"/>
      </w:pPr>
      <w:r>
        <w:rPr>
          <w:bCs/>
          <w:b/>
        </w:rPr>
        <w:t xml:space="preserve">Central Kyoto (Higashiyama/Minami-ku)</w:t>
      </w:r>
      <w:r>
        <w:t xml:space="preserve">: 41% of sales, driven by historic district events and temple-based campaign meetings</w:t>
      </w:r>
    </w:p>
    <w:p>
      <w:pPr>
        <w:numPr>
          <w:ilvl w:val="0"/>
          <w:numId w:val="1001"/>
        </w:numPr>
        <w:pStyle w:val="Compact"/>
      </w:pPr>
      <w:r>
        <w:rPr>
          <w:bCs/>
          <w:b/>
        </w:rPr>
        <w:t xml:space="preserve">Rural Kyoto (Nantan/Otokuni)</w:t>
      </w:r>
      <w:r>
        <w:t xml:space="preserve">: 33% of sales, with high demand for the Daimaru sashes at local agricultural cooperative events</w:t>
      </w:r>
    </w:p>
    <w:p>
      <w:pPr>
        <w:numPr>
          <w:ilvl w:val="0"/>
          <w:numId w:val="1001"/>
        </w:numPr>
        <w:pStyle w:val="Compact"/>
      </w:pPr>
      <w:r>
        <w:rPr>
          <w:bCs/>
          <w:b/>
        </w:rPr>
        <w:t xml:space="preserve">Urban Suburbs (Fushimi/Sakyo)</w:t>
      </w:r>
      <w:r>
        <w:t xml:space="preserve">: 26% of sales, dominated by tote bags at community festivals</w:t>
      </w:r>
    </w:p>
    <w:p>
      <w:pPr>
        <w:pStyle w:val="FirstParagraph"/>
      </w:pPr>
      <w:r>
        <w:t xml:space="preserve">This geographic spread validates our Politician's campaign strategy of equal investment across Kyoto's diverse communities. The Sales Report notes that rural sales growth (+59%) significantly exceeded urban growth (+38%), indicating successful outreach beyond Kyoto's traditional political hubs.</w:t>
      </w:r>
    </w:p>
    <w:bookmarkEnd w:id="23"/>
    <w:bookmarkStart w:id="24" w:name="consumer-insights-cultural-resonance"/>
    <w:p>
      <w:pPr>
        <w:pStyle w:val="Heading2"/>
      </w:pPr>
      <w:r>
        <w:t xml:space="preserve">Consumer Insights &amp; Cultural Resonance</w:t>
      </w:r>
    </w:p>
    <w:p>
      <w:pPr>
        <w:pStyle w:val="FirstParagraph"/>
      </w:pPr>
      <w:r>
        <w:t xml:space="preserve">Our post-purchase surveys (n=1,450 respondents) revealed that 87% of Kyoto customers purchased campaign merchandise to demonstrate civic participation—far exceeding the national average of 63%. A key finding: "I bought the Chawan badge because it reminded me of my grandfather's tea ceremony practice," shared a 72-year-old customer in Nishikyō, Kyoto. This cultural connection, absent in generic campaign items, directly contributed to our Sales Report's exceptional retention rates (81% of first-time buyers repurchased within 6 months).</w:t>
      </w:r>
    </w:p>
    <w:bookmarkEnd w:id="24"/>
    <w:bookmarkStart w:id="25" w:name="challenges-strategic-response"/>
    <w:p>
      <w:pPr>
        <w:pStyle w:val="Heading2"/>
      </w:pPr>
      <w:r>
        <w:t xml:space="preserve">Challenges &amp; Strategic Response</w:t>
      </w:r>
    </w:p>
    <w:p>
      <w:pPr>
        <w:pStyle w:val="FirstParagraph"/>
      </w:pPr>
      <w:r>
        <w:t xml:space="preserve">Early in Q3, our Sales Report identified a critical challenge: Kyoto's strict artisanal craftsmanship requirements increased production costs by 28%. The Politician personally engaged with local machiya (traditional wooden townhouses) artisans to establish cooperative partnerships, securing materials at cost price while preserving cultural integrity. This decision—though initially reducing profit margins—accelerated sales volume by 22% within two weeks, proving the value of culturally-aligned investment.</w:t>
      </w:r>
    </w:p>
    <w:bookmarkEnd w:id="25"/>
    <w:bookmarkStart w:id="26" w:name="future-recommendations-for-japan-kyoto"/>
    <w:p>
      <w:pPr>
        <w:pStyle w:val="Heading2"/>
      </w:pPr>
      <w:r>
        <w:t xml:space="preserve">Future Recommendations for Japan Kyoto</w:t>
      </w:r>
    </w:p>
    <w:p>
      <w:pPr>
        <w:pStyle w:val="FirstParagraph"/>
      </w:pPr>
      <w:r>
        <w:t xml:space="preserve">Based on this Sales Report, we propose three strategic initiatives for the next campaign cycle:</w:t>
      </w:r>
    </w:p>
    <w:p>
      <w:pPr>
        <w:numPr>
          <w:ilvl w:val="0"/>
          <w:numId w:val="1002"/>
        </w:numPr>
        <w:pStyle w:val="Compact"/>
      </w:pPr>
      <w:r>
        <w:rPr>
          <w:bCs/>
          <w:b/>
        </w:rPr>
        <w:t xml:space="preserve">Expand "Cultural Partnership" Program</w:t>
      </w:r>
      <w:r>
        <w:t xml:space="preserve">: Formalize agreements with Kyoto's 47 designated intangible cultural properties to co-create limited-edition items (e.g., Noh mask designs for campaign pins)</w:t>
      </w:r>
    </w:p>
    <w:p>
      <w:pPr>
        <w:numPr>
          <w:ilvl w:val="0"/>
          <w:numId w:val="1002"/>
        </w:numPr>
        <w:pStyle w:val="Compact"/>
      </w:pPr>
      <w:r>
        <w:rPr>
          <w:bCs/>
          <w:b/>
        </w:rPr>
        <w:t xml:space="preserve">Develop Digital-Physical Integration</w:t>
      </w:r>
      <w:r>
        <w:t xml:space="preserve">: Launch QR codes on merchandise linking to Kyoto-specific policy videos (e.g., "How our green energy plan protects Arashiyama bamboo groves")</w:t>
      </w:r>
    </w:p>
    <w:p>
      <w:pPr>
        <w:numPr>
          <w:ilvl w:val="0"/>
          <w:numId w:val="1002"/>
        </w:numPr>
        <w:pStyle w:val="Compact"/>
      </w:pPr>
      <w:r>
        <w:rPr>
          <w:bCs/>
          <w:b/>
        </w:rPr>
        <w:t xml:space="preserve">Regional Sales Ambassador Network</w:t>
      </w:r>
      <w:r>
        <w:t xml:space="preserve">: Train 50+ community leaders across Kyoto's districts as merchandise distributors, focusing on elderly populations who are 3x more likely to purchase physical items than digital content</w:t>
      </w:r>
    </w:p>
    <w:bookmarkEnd w:id="26"/>
    <w:bookmarkStart w:id="27" w:name="Xc6faa2e7e1d3a10c47601ca1e64d3dac328bb85"/>
    <w:p>
      <w:pPr>
        <w:pStyle w:val="Heading2"/>
      </w:pPr>
      <w:r>
        <w:t xml:space="preserve">Conclusion: The Kyoto Model for Political Engagement</w:t>
      </w:r>
    </w:p>
    <w:p>
      <w:pPr>
        <w:pStyle w:val="FirstParagraph"/>
      </w:pPr>
      <w:r>
        <w:t xml:space="preserve">This Sales Report conclusively demonstrates that in Japan Kyoto, political success is deeply intertwined with cultural authenticity. The Politician's commitment to embedding local traditions within campaign materials—rather than generic national branding—has created a sustainable sales model where merchandise drives community connection. As Kyoto's unique blend of heritage and modernity continues to shape Japanese politics, this approach sets a new benchmark for effective political engagement across Japan.</w:t>
      </w:r>
    </w:p>
    <w:p>
      <w:pPr>
        <w:pStyle w:val="BodyText"/>
      </w:pPr>
      <w:r>
        <w:t xml:space="preserve">"In Kyoto, we don't sell merchandise—we cultivate belonging. Every badge, every sash carries the spirit of this city."</w:t>
      </w:r>
      <w:r>
        <w:br/>
      </w:r>
      <w:r>
        <w:t xml:space="preserve">— Representative Akira Tanaka, Kyoto Prefectural Assembly</w:t>
      </w:r>
    </w:p>
    <w:p>
      <w:pPr>
        <w:pStyle w:val="BodyText"/>
      </w:pPr>
      <w:r>
        <w:t xml:space="preserve">This report is confidential and intended solely for the Japan Kyoto Political Advisory Council.</w:t>
      </w:r>
      <w:r>
        <w:br/>
      </w:r>
      <w:r>
        <w:t xml:space="preserve">Data verified by Kyoto Prefectural Commercial Bureau | Sales figures reflect actual merchandise transactions (not digital donations)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Kyoto Political Campaign Sales Report</dc:title>
  <dc:creator/>
  <dc:language>en</dc:language>
  <cp:keywords/>
  <dcterms:created xsi:type="dcterms:W3CDTF">2026-07-24T06:13:11Z</dcterms:created>
  <dcterms:modified xsi:type="dcterms:W3CDTF">2026-07-24T06:13:11Z</dcterms:modified>
</cp:coreProperties>
</file>

<file path=docProps/custom.xml><?xml version="1.0" encoding="utf-8"?>
<Properties xmlns="http://schemas.openxmlformats.org/officeDocument/2006/custom-properties" xmlns:vt="http://schemas.openxmlformats.org/officeDocument/2006/docPropsVTypes"/>
</file>