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Sales</w:t>
      </w:r>
      <w:r>
        <w:t xml:space="preserve"> </w:t>
      </w:r>
      <w:r>
        <w:t xml:space="preserve">Performance</w:t>
      </w:r>
      <w:r>
        <w:t xml:space="preserve"> </w:t>
      </w:r>
      <w:r>
        <w:t xml:space="preserve">Report:</w:t>
      </w:r>
      <w:r>
        <w:t xml:space="preserve"> </w:t>
      </w:r>
      <w:r>
        <w:t xml:space="preserve">Osaka</w:t>
      </w:r>
      <w:r>
        <w:t xml:space="preserve"> </w:t>
      </w:r>
      <w:r>
        <w:t xml:space="preserve">Market</w:t>
      </w:r>
    </w:p>
    <w:bookmarkStart w:id="32" w:name="Xaecd891a7e690abea33e519bdf12e1a66539a9b"/>
    <w:p>
      <w:pPr>
        <w:pStyle w:val="Heading1"/>
      </w:pPr>
      <w:r>
        <w:t xml:space="preserve">Sales Report: Political Campaign Performance Analysis - Japan Osaka Market</w:t>
      </w:r>
    </w:p>
    <w:bookmarkStart w:id="20" w:name="executive-summary"/>
    <w:p>
      <w:pPr>
        <w:pStyle w:val="Heading2"/>
      </w:pPr>
      <w:r>
        <w:t xml:space="preserve">Executive Summary</w:t>
      </w:r>
    </w:p>
    <w:p>
      <w:pPr>
        <w:pStyle w:val="FirstParagraph"/>
      </w:pPr>
      <w:r>
        <w:t xml:space="preserve">This comprehensive Sales Report evaluates the electoral performance and public engagement metrics of our prominent Politician within the dynamic market of Japan Osaka. As a critical political hub in western Japan, Osaka presents unique opportunities and challenges requiring tailored strategy. Our analysis reveals a 18.7% increase in constituent support since Q1 2023, positioning our Politician as a leading contender for upcoming regional elections. This document details the strategic execution that drove this growth within Osaka's complex socio-economic landscape.</w:t>
      </w:r>
    </w:p>
    <w:bookmarkEnd w:id="20"/>
    <w:bookmarkStart w:id="21" w:name="X9c5b709856be1ea9565b38f2314b9132e76fa56"/>
    <w:p>
      <w:pPr>
        <w:pStyle w:val="Heading2"/>
      </w:pPr>
      <w:r>
        <w:t xml:space="preserve">Osaka Market Context: Political Sales Environment</w:t>
      </w:r>
    </w:p>
    <w:p>
      <w:pPr>
        <w:pStyle w:val="FirstParagraph"/>
      </w:pPr>
      <w:r>
        <w:t xml:space="preserve">Japan Osaka represents a $450 billion metropolitan economic zone with 19 million residents, making it Japan's second-largest city and a pivotal political battleground. The competitive electoral environment features three major parties vying for influence in this commercially vibrant region. Our Sales Report identifies Osaka's distinct characteristics as critical to our Politician's success:</w:t>
      </w:r>
    </w:p>
    <w:p>
      <w:pPr>
        <w:numPr>
          <w:ilvl w:val="0"/>
          <w:numId w:val="1001"/>
        </w:numPr>
        <w:pStyle w:val="Compact"/>
      </w:pPr>
      <w:r>
        <w:rPr>
          <w:bCs/>
          <w:b/>
        </w:rPr>
        <w:t xml:space="preserve">Urban Density:</w:t>
      </w:r>
      <w:r>
        <w:t xml:space="preserve"> </w:t>
      </w:r>
      <w:r>
        <w:t xml:space="preserve">11,000 residents per sq km requiring hyper-localized engagement</w:t>
      </w:r>
    </w:p>
    <w:p>
      <w:pPr>
        <w:numPr>
          <w:ilvl w:val="0"/>
          <w:numId w:val="1001"/>
        </w:numPr>
        <w:pStyle w:val="Compact"/>
      </w:pPr>
      <w:r>
        <w:rPr>
          <w:bCs/>
          <w:b/>
        </w:rPr>
        <w:t xml:space="preserve">Economic Focus:</w:t>
      </w:r>
      <w:r>
        <w:t xml:space="preserve"> </w:t>
      </w:r>
      <w:r>
        <w:t xml:space="preserve">32% of Osaka GDP derived from commerce and logistics</w:t>
      </w:r>
    </w:p>
    <w:p>
      <w:pPr>
        <w:numPr>
          <w:ilvl w:val="0"/>
          <w:numId w:val="1001"/>
        </w:numPr>
        <w:pStyle w:val="Compact"/>
      </w:pPr>
      <w:r>
        <w:rPr>
          <w:bCs/>
          <w:b/>
        </w:rPr>
        <w:t xml:space="preserve">Cultural Nuance:</w:t>
      </w:r>
      <w:r>
        <w:t xml:space="preserve"> </w:t>
      </w:r>
      <w:r>
        <w:t xml:space="preserve">"Osaka-ryōri" (local identity) drives voter sentiment differently than Tokyo-centric politics</w:t>
      </w:r>
    </w:p>
    <w:bookmarkEnd w:id="21"/>
    <w:bookmarkStart w:id="22" w:name="X0eb5db56ddd741f98f31b2fc8c8f170a7133049"/>
    <w:p>
      <w:pPr>
        <w:pStyle w:val="Heading2"/>
      </w:pPr>
      <w:r>
        <w:t xml:space="preserve">Key Performance Metrics: The Politician's Sales Dashboard</w:t>
      </w:r>
    </w:p>
    <w:p>
      <w:pPr>
        <w:pStyle w:val="FirstParagraph"/>
      </w:pPr>
      <w:r>
        <w:t xml:space="preserve">This Sales Report quantifies the Politician's electoral campaign performance through three critical KPIs:</w:t>
      </w:r>
    </w:p>
    <w:p>
      <w:pPr>
        <w:pStyle w:val="BodyText"/>
      </w:pPr>
      <w:r>
        <w:t xml:space="preserve">Performance Metric</w:t>
      </w:r>
    </w:p>
    <w:p>
      <w:pPr>
        <w:pStyle w:val="BodyText"/>
      </w:pPr>
      <w:r>
        <w:t xml:space="preserve">Current Q3 2023</w:t>
      </w:r>
    </w:p>
    <w:p>
      <w:pPr>
        <w:pStyle w:val="BodyText"/>
      </w:pPr>
      <w:r>
        <w:t xml:space="preserve">Q1 2023 Baseline</w:t>
      </w:r>
    </w:p>
    <w:p>
      <w:pPr>
        <w:pStyle w:val="BodyText"/>
      </w:pPr>
      <w:r>
        <w:t xml:space="preserve">% Change</w:t>
      </w:r>
    </w:p>
    <w:p>
      <w:pPr>
        <w:pStyle w:val="BodyText"/>
      </w:pPr>
      <w:r>
        <w:t xml:space="preserve">Voter Recognition (Osaka Only)</w:t>
      </w:r>
    </w:p>
    <w:p>
      <w:pPr>
        <w:pStyle w:val="BodyText"/>
      </w:pPr>
      <w:r>
        <w:t xml:space="preserve">68.4%</w:t>
      </w:r>
    </w:p>
    <w:p>
      <w:pPr>
        <w:pStyle w:val="BodyText"/>
      </w:pPr>
      <w:r>
        <w:t xml:space="preserve">51.2%</w:t>
      </w:r>
    </w:p>
    <w:p>
      <w:pPr>
        <w:pStyle w:val="BodyText"/>
      </w:pPr>
      <w:r>
        <w:t xml:space="preserve">+33.6%</w:t>
      </w:r>
    </w:p>
    <w:p>
      <w:pPr>
        <w:pStyle w:val="BodyText"/>
      </w:pPr>
      <w:r>
        <w:t xml:space="preserve">Support Rate Among Small Businesses</w:t>
      </w:r>
    </w:p>
    <w:p>
      <w:pPr>
        <w:pStyle w:val="BodyText"/>
      </w:pPr>
      <w:r>
        <w:t xml:space="preserve">74.1%</w:t>
      </w:r>
    </w:p>
    <w:p>
      <w:pPr>
        <w:pStyle w:val="BodyText"/>
      </w:pPr>
      <w:r>
        <w:t xml:space="preserve">58.7%</w:t>
      </w:r>
    </w:p>
    <w:p>
      <w:pPr>
        <w:pStyle w:val="BodyText"/>
      </w:pPr>
      <w:r>
        <w:br/>
      </w:r>
    </w:p>
    <w:p>
      <w:pPr>
        <w:pStyle w:val="BodyText"/>
      </w:pPr>
      <w:r>
        <w:t xml:space="preserve">The Politician's targeted outreach to Osaka's 230,000 small businesses generated exceptional results. Our Sales Report highlights that 86% of business owner interactions resulted in positive sentiment shifts—significantly higher than the industry average of 52%. This performance directly correlates with Osaka's economic priorities where local commerce drives political influence.</w:t>
      </w:r>
    </w:p>
    <w:bookmarkEnd w:id="22"/>
    <w:bookmarkStart w:id="26" w:name="strategic-execution-the-sales-playbook"/>
    <w:p>
      <w:pPr>
        <w:pStyle w:val="Heading2"/>
      </w:pPr>
      <w:r>
        <w:t xml:space="preserve">Strategic Execution: The Sales Playbook</w:t>
      </w:r>
    </w:p>
    <w:p>
      <w:pPr>
        <w:pStyle w:val="FirstParagraph"/>
      </w:pPr>
      <w:r>
        <w:t xml:space="preserve">Our Politician implemented a three-pillar sales strategy specifically designed for Japan Osaka's unique market conditions:</w:t>
      </w:r>
    </w:p>
    <w:bookmarkStart w:id="23" w:name="Xcee05c81d2d34b2e28ae01aebe56bb66d412e04"/>
    <w:p>
      <w:pPr>
        <w:pStyle w:val="Heading3"/>
      </w:pPr>
      <w:r>
        <w:t xml:space="preserve">1. Hyper-Local Engagement (The "Osaka Connection" Initiative)</w:t>
      </w:r>
    </w:p>
    <w:p>
      <w:pPr>
        <w:pStyle w:val="FirstParagraph"/>
      </w:pPr>
      <w:r>
        <w:t xml:space="preserve">We deployed 15 dedicated community liaisons across Osaka's 24 wards—each trained in local dialects and cultural protocols. This personalized approach drove a 41% increase in face-to-face voter interactions compared to previous campaigns. The Sales Report notes that Politician-led "Yakitori Talks" (informal business gatherings) generated 3x more positive social media mentions than conventional rallies.</w:t>
      </w:r>
    </w:p>
    <w:bookmarkEnd w:id="23"/>
    <w:bookmarkStart w:id="24" w:name="X0093809e5e9084e420496cd3721e253c2ffa5bc"/>
    <w:p>
      <w:pPr>
        <w:pStyle w:val="Heading3"/>
      </w:pPr>
      <w:r>
        <w:t xml:space="preserve">2. Economic Value Proposition (Targeting Osaka's Core Pain Points)</w:t>
      </w:r>
    </w:p>
    <w:p>
      <w:pPr>
        <w:pStyle w:val="FirstParagraph"/>
      </w:pPr>
      <w:r>
        <w:t xml:space="preserve">Our sales messaging directly addressed Osaka-specific concerns identified through market research:</w:t>
      </w:r>
    </w:p>
    <w:p>
      <w:pPr>
        <w:numPr>
          <w:ilvl w:val="0"/>
          <w:numId w:val="1002"/>
        </w:numPr>
        <w:pStyle w:val="Compact"/>
      </w:pPr>
      <w:r>
        <w:rPr>
          <w:bCs/>
          <w:b/>
        </w:rPr>
        <w:t xml:space="preserve">Port Efficiency:</w:t>
      </w:r>
      <w:r>
        <w:t xml:space="preserve"> </w:t>
      </w:r>
      <w:r>
        <w:t xml:space="preserve">78% of Osaka businesses cited port delays as critical issue</w:t>
      </w:r>
    </w:p>
    <w:p>
      <w:pPr>
        <w:numPr>
          <w:ilvl w:val="0"/>
          <w:numId w:val="1002"/>
        </w:numPr>
        <w:pStyle w:val="Compact"/>
      </w:pPr>
      <w:r>
        <w:rPr>
          <w:bCs/>
          <w:b/>
        </w:rPr>
        <w:t xml:space="preserve">Tax Burden:</w:t>
      </w:r>
      <w:r>
        <w:t xml:space="preserve"> </w:t>
      </w:r>
      <w:r>
        <w:t xml:space="preserve">63% of SMEs reported rising municipal taxes</w:t>
      </w:r>
    </w:p>
    <w:p>
      <w:pPr>
        <w:pStyle w:val="FirstParagraph"/>
      </w:pPr>
      <w:r>
        <w:t xml:space="preserve">The Politician's proposal to streamline Osaka Port logistics directly resonated, driving a 27% spike in support among commercial districts. This data is central to our Sales Report as it demonstrates market-driven sales strategy.</w:t>
      </w:r>
    </w:p>
    <w:bookmarkEnd w:id="24"/>
    <w:bookmarkStart w:id="25" w:name="X9dc5146fd57dd85d8ec30452d887ffa7f81ae50"/>
    <w:p>
      <w:pPr>
        <w:pStyle w:val="Heading3"/>
      </w:pPr>
      <w:r>
        <w:t xml:space="preserve">3. Digital Sales Amplification (Osaka Social Media Engagement)</w:t>
      </w:r>
    </w:p>
    <w:p>
      <w:pPr>
        <w:pStyle w:val="FirstParagraph"/>
      </w:pPr>
      <w:r>
        <w:t xml:space="preserve">Unlike generic national campaigns, our Politician's digital strategy prioritized Osaka-centric content on LINE and Twitter:</w:t>
      </w:r>
    </w:p>
    <w:p>
      <w:pPr>
        <w:numPr>
          <w:ilvl w:val="0"/>
          <w:numId w:val="1003"/>
        </w:numPr>
        <w:pStyle w:val="Compact"/>
      </w:pPr>
      <w:r>
        <w:t xml:space="preserve">Localized video content featuring Osaka landmarks (Dōtonbori, Kuromon Market)</w:t>
      </w:r>
    </w:p>
    <w:p>
      <w:pPr>
        <w:numPr>
          <w:ilvl w:val="0"/>
          <w:numId w:val="1003"/>
        </w:numPr>
        <w:pStyle w:val="Compact"/>
      </w:pPr>
      <w:r>
        <w:t xml:space="preserve">Real-time Q&amp;A sessions addressing neighborhood issues</w:t>
      </w:r>
    </w:p>
    <w:p>
      <w:pPr>
        <w:pStyle w:val="FirstParagraph"/>
      </w:pPr>
      <w:r>
        <w:t xml:space="preserve">The Sales Report documents a 200% increase in Osaka-specific digital engagement versus previous election cycles. This social proof became critical sales validation for local media coverage.</w:t>
      </w:r>
    </w:p>
    <w:bookmarkEnd w:id="25"/>
    <w:bookmarkEnd w:id="26"/>
    <w:bookmarkStart w:id="29" w:name="X9ac160b707e8f7585f91b288d555832890973c4"/>
    <w:p>
      <w:pPr>
        <w:pStyle w:val="Heading2"/>
      </w:pPr>
      <w:r>
        <w:t xml:space="preserve">Challenges and Competitive Landscape Analysis</w:t>
      </w:r>
    </w:p>
    <w:p>
      <w:pPr>
        <w:pStyle w:val="FirstParagraph"/>
      </w:pPr>
      <w:r>
        <w:t xml:space="preserve">Despite strong performance, our Sales Report identifies key challenges requiring strategic adjustment:</w:t>
      </w:r>
    </w:p>
    <w:bookmarkStart w:id="27" w:name="X481c49882caf42e1c5bcfdb72cd8d560b355379"/>
    <w:p>
      <w:pPr>
        <w:pStyle w:val="Heading3"/>
      </w:pPr>
      <w:r>
        <w:t xml:space="preserve">Competitor Response in Japan Osaka Market</w:t>
      </w:r>
    </w:p>
    <w:p>
      <w:pPr>
        <w:numPr>
          <w:ilvl w:val="0"/>
          <w:numId w:val="1004"/>
        </w:numPr>
        <w:pStyle w:val="Compact"/>
      </w:pPr>
      <w:r>
        <w:rPr>
          <w:bCs/>
          <w:b/>
        </w:rPr>
        <w:t xml:space="preserve">National Party Expansion:</w:t>
      </w:r>
      <w:r>
        <w:t xml:space="preserve"> </w:t>
      </w:r>
      <w:r>
        <w:t xml:space="preserve">Opponents increased Osaka advertising spend by 150% in Q2 2023</w:t>
      </w:r>
    </w:p>
    <w:p>
      <w:pPr>
        <w:numPr>
          <w:ilvl w:val="0"/>
          <w:numId w:val="1004"/>
        </w:numPr>
        <w:pStyle w:val="Compact"/>
      </w:pPr>
      <w:r>
        <w:rPr>
          <w:bCs/>
          <w:b/>
        </w:rPr>
        <w:t xml:space="preserve">Cultural Missteps:</w:t>
      </w:r>
      <w:r>
        <w:t xml:space="preserve"> </w:t>
      </w:r>
      <w:r>
        <w:t xml:space="preserve">Rival campaign's Tokyo-centric messaging alienated 44% of Osaka voters per exit polls</w:t>
      </w:r>
    </w:p>
    <w:bookmarkEnd w:id="27"/>
    <w:bookmarkStart w:id="28" w:name="osaka-specific-risk-factors"/>
    <w:p>
      <w:pPr>
        <w:pStyle w:val="Heading3"/>
      </w:pPr>
      <w:r>
        <w:t xml:space="preserve">Osaka-Specific Risk Factors</w:t>
      </w:r>
    </w:p>
    <w:p>
      <w:pPr>
        <w:pStyle w:val="FirstParagraph"/>
      </w:pPr>
      <w:r>
        <w:t xml:space="preserve">The Sales Report warns that Osaka's unique political culture demands constant adaptation. Our Politician avoided the common pitfall of "Tokyo politics" by maintaining 87% locally sourced campaign materials. However, weather disruptions (typhoon season) temporarily halted 12% of field operations—requiring agile sales adjustments.</w:t>
      </w:r>
    </w:p>
    <w:bookmarkEnd w:id="28"/>
    <w:bookmarkEnd w:id="29"/>
    <w:bookmarkStart w:id="30" w:name="X04770eb7a3266642a0163881a86388dcb766541"/>
    <w:p>
      <w:pPr>
        <w:pStyle w:val="Heading2"/>
      </w:pPr>
      <w:r>
        <w:t xml:space="preserve">Recommendations for Future Sales Performance</w:t>
      </w:r>
    </w:p>
    <w:p>
      <w:pPr>
        <w:pStyle w:val="FirstParagraph"/>
      </w:pPr>
      <w:r>
        <w:t xml:space="preserve">Based on our Osaka market analysis, we recommend these strategic priorities to sustain the Politician's sales momentum:</w:t>
      </w:r>
    </w:p>
    <w:p>
      <w:pPr>
        <w:numPr>
          <w:ilvl w:val="0"/>
          <w:numId w:val="1005"/>
        </w:numPr>
        <w:pStyle w:val="Compact"/>
      </w:pPr>
      <w:r>
        <w:rPr>
          <w:bCs/>
          <w:b/>
        </w:rPr>
        <w:t xml:space="preserve">Deepen Commercial Partnerships:</w:t>
      </w:r>
      <w:r>
        <w:t xml:space="preserve"> </w:t>
      </w:r>
      <w:r>
        <w:t xml:space="preserve">Target 50 new Osaka business alliances before December 2023 (current: 37)</w:t>
      </w:r>
    </w:p>
    <w:p>
      <w:pPr>
        <w:numPr>
          <w:ilvl w:val="0"/>
          <w:numId w:val="1005"/>
        </w:numPr>
        <w:pStyle w:val="Compact"/>
      </w:pPr>
      <w:r>
        <w:rPr>
          <w:bCs/>
          <w:b/>
        </w:rPr>
        <w:t xml:space="preserve">Launch "Osaka Economic Accelerator" Program:</w:t>
      </w:r>
      <w:r>
        <w:t xml:space="preserve"> </w:t>
      </w:r>
      <w:r>
        <w:t xml:space="preserve">A $12M initiative specifically for port logistics reform</w:t>
      </w:r>
    </w:p>
    <w:p>
      <w:pPr>
        <w:numPr>
          <w:ilvl w:val="0"/>
          <w:numId w:val="1005"/>
        </w:numPr>
        <w:pStyle w:val="Compact"/>
      </w:pPr>
      <w:r>
        <w:rPr>
          <w:bCs/>
          <w:b/>
        </w:rPr>
        <w:t xml:space="preserve">Leverage Cultural Capital:</w:t>
      </w:r>
      <w:r>
        <w:t xml:space="preserve"> </w:t>
      </w:r>
      <w:r>
        <w:t xml:space="preserve">Partner with Osaka's Kansai culture influencers for authentic engagement</w:t>
      </w:r>
    </w:p>
    <w:bookmarkEnd w:id="30"/>
    <w:bookmarkStart w:id="31" w:name="X426b328585cc9daaf12884833d896b9e71de41d"/>
    <w:p>
      <w:pPr>
        <w:pStyle w:val="Heading2"/>
      </w:pPr>
      <w:r>
        <w:t xml:space="preserve">Conclusion: The Politician's Sales Future in Japan Osaka</w:t>
      </w:r>
    </w:p>
    <w:p>
      <w:pPr>
        <w:pStyle w:val="FirstParagraph"/>
      </w:pPr>
      <w:r>
        <w:t xml:space="preserve">This Sales Report confirms our Politician has established a dominant market position in Japan Osaka through culturally intelligent sales execution. The 33.6% recognition growth and 74.1% small business support rate demonstrate that Osaka voters respond powerfully to locally attuned political engagement—not national branding.</w:t>
      </w:r>
    </w:p>
    <w:p>
      <w:pPr>
        <w:pStyle w:val="BodyText"/>
      </w:pPr>
      <w:r>
        <w:t xml:space="preserve">As we prepare for the next electoral cycle, our Sales Report emphasizes that success in Osaka demands continuous adaptation to local economic rhythms and cultural nuances. The Politician's current sales trajectory positions them uniquely for victory in what remains Japan's most competitive political market. We project a 25% increase in support by election day if current strategies continue with these targeted adjustments.</w:t>
      </w:r>
    </w:p>
    <w:p>
      <w:pPr>
        <w:pStyle w:val="BodyText"/>
      </w:pPr>
      <w:r>
        <w:t xml:space="preserve">For the Japan Osaka market, politics isn't just policy—it's a localized sales proposition where cultural intelligence directly converts to voter support. This Sales Report stands as evidence that our Politician has mastered this essential dynamic. The path forward requires doubling down on Osaka-first engagement: where every policy becomes a sales opportunity, and every community interaction drives electoral conversion.</w:t>
      </w:r>
    </w:p>
    <w:p>
      <w:pPr>
        <w:pStyle w:val="BodyText"/>
      </w:pPr>
      <w:r>
        <w:rPr>
          <w:bCs/>
          <w:b/>
        </w:rPr>
        <w:t xml:space="preserve">Prepared for the Osaka Campaign Office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Sales Performance Report: Osaka Market</dc:title>
  <dc:creator/>
  <dc:language>en</dc:language>
  <cp:keywords/>
  <dcterms:created xsi:type="dcterms:W3CDTF">2026-07-23T20:06:44Z</dcterms:created>
  <dcterms:modified xsi:type="dcterms:W3CDTF">2026-07-23T20:06:44Z</dcterms:modified>
</cp:coreProperties>
</file>

<file path=docProps/custom.xml><?xml version="1.0" encoding="utf-8"?>
<Properties xmlns="http://schemas.openxmlformats.org/officeDocument/2006/custom-properties" xmlns:vt="http://schemas.openxmlformats.org/officeDocument/2006/docPropsVTypes"/>
</file>