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Politician</w:t>
      </w:r>
      <w:r>
        <w:t xml:space="preserve"> </w:t>
      </w:r>
      <w:r>
        <w:t xml:space="preserve">Sales</w:t>
      </w:r>
      <w:r>
        <w:t xml:space="preserve"> </w:t>
      </w:r>
      <w:r>
        <w:t xml:space="preserve">Report:</w:t>
      </w:r>
      <w:r>
        <w:t xml:space="preserve"> </w:t>
      </w:r>
      <w:r>
        <w:t xml:space="preserve">Tokyo</w:t>
      </w:r>
      <w:r>
        <w:t xml:space="preserve"> </w:t>
      </w:r>
      <w:r>
        <w:t xml:space="preserve">Japan</w:t>
      </w:r>
      <w:r>
        <w:t xml:space="preserve"> </w:t>
      </w:r>
      <w:r>
        <w:t xml:space="preserve">Market</w:t>
      </w:r>
      <w:r>
        <w:t xml:space="preserve"> </w:t>
      </w:r>
      <w:r>
        <w:t xml:space="preserve">Analysis</w:t>
      </w:r>
    </w:p>
    <w:bookmarkStart w:id="26" w:name="X9e81acb7f17883fd911c1bc972ccde52cd25ac8"/>
    <w:p>
      <w:pPr>
        <w:pStyle w:val="Heading1"/>
      </w:pPr>
      <w:r>
        <w:t xml:space="preserve">SALES REPORT FOR POLITICAL CANDIDATE IN JAPAN TOKYO MARKET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Political Strategy Committee, Japan Tokyo Office</w:t>
      </w:r>
    </w:p>
    <w:p>
      <w:pPr>
        <w:pStyle w:val="BodyText"/>
      </w:pPr>
      <w:r>
        <w:t xml:space="preserve">This comprehensive Sales Report details the electoral performance metrics, voter engagement strategies, and market positioning of our leading political candidate in the Tokyo metropolitan region. As Japan's most dynamic political battleground, Tokyo demands exceptional campaign execution where every interaction constitutes a sales opportunity. This document serves as both diagnostic tool and strategic roadmap for our Politician's continued success in this critical market.</w:t>
      </w:r>
    </w:p>
    <w:bookmarkStart w:id="20" w:name="Xc5bc4e9261c98051f5ea751e66018c3b334081e"/>
    <w:p>
      <w:pPr>
        <w:pStyle w:val="Heading2"/>
      </w:pPr>
      <w:r>
        <w:t xml:space="preserve">Executive Summary: Market Positioning &amp; Key Metrics</w:t>
      </w:r>
    </w:p>
    <w:p>
      <w:pPr>
        <w:pStyle w:val="FirstParagraph"/>
      </w:pPr>
      <w:r>
        <w:t xml:space="preserve">The Q3 2023 Sales Report confirms our Politician's commanding position in the Japan Tokyo electorate, demonstrating a 17.8% increase in voter affinity metrics compared to Q2. This growth positions us as the top contender in Tokyo's competitive political landscape, with particular strength among key demographics (ages 25-45 and urban professionals). The Sales Report underscores that successful political engagement now functions identically to premium consumer sales: it requires deep market understanding, personalized value propositions, and consistent follow-through. In Japan Tokyo's high-stakes environment, where voter attention spans are shorter than ever, our Politician's campaign has mastered the art of converting interest into committed support through data-driven relationship management.</w:t>
      </w:r>
    </w:p>
    <w:p>
      <w:pPr>
        <w:pStyle w:val="BodyText"/>
      </w:pPr>
      <w:r>
        <w:t xml:space="preserve">Crucially, this Sales Report reveals that 68% of new voter acquisitions in Tokyo occurred through digital channels – a testament to our Politician's modernized outreach strategy. The report validates that traditional "sales" tactics (door-knocking, rallies) now require digital integration to achieve maximum impact in Japan Tokyo's tech-savvy electorate.</w:t>
      </w:r>
    </w:p>
    <w:bookmarkEnd w:id="20"/>
    <w:bookmarkStart w:id="21" w:name="X2b7f92783cdb492ef4a58dd4be564946fdb7514"/>
    <w:p>
      <w:pPr>
        <w:pStyle w:val="Heading2"/>
      </w:pPr>
      <w:r>
        <w:t xml:space="preserve">Market Analysis: Tokyo Voter Behavior Patterns</w:t>
      </w:r>
    </w:p>
    <w:p>
      <w:pPr>
        <w:pStyle w:val="FirstParagraph"/>
      </w:pPr>
      <w:r>
        <w:t xml:space="preserve">Japan Tokyo operates as a unique political micro-market with distinct consumption patterns. Our Sales Report identifies three critical behavioral clusters:</w:t>
      </w:r>
    </w:p>
    <w:p>
      <w:pPr>
        <w:numPr>
          <w:ilvl w:val="0"/>
          <w:numId w:val="1001"/>
        </w:numPr>
        <w:pStyle w:val="Compact"/>
      </w:pPr>
      <w:r>
        <w:rPr>
          <w:bCs/>
          <w:b/>
        </w:rPr>
        <w:t xml:space="preserve">The Information Seekers (42%):</w:t>
      </w:r>
      <w:r>
        <w:t xml:space="preserve"> </w:t>
      </w:r>
      <w:r>
        <w:t xml:space="preserve">Primarily urban professionals aged 28-45 who consume policy content via mobile apps. Our Politician's "Policy Explorer" digital portal generated 12,000+ active engagements in Q3 – a 29% MoM increase.</w:t>
      </w:r>
    </w:p>
    <w:p>
      <w:pPr>
        <w:numPr>
          <w:ilvl w:val="0"/>
          <w:numId w:val="1001"/>
        </w:numPr>
        <w:pStyle w:val="Compact"/>
      </w:pPr>
      <w:r>
        <w:rPr>
          <w:bCs/>
          <w:b/>
        </w:rPr>
        <w:t xml:space="preserve">The Community Connectors (35%):</w:t>
      </w:r>
      <w:r>
        <w:t xml:space="preserve"> </w:t>
      </w:r>
      <w:r>
        <w:t xml:space="preserve">Neighborhood-focused voters participating in local "town hall sales pitches" held at Tokyo community centers. These events drove 47% of new sign-ups, with our Politician personally attending 18 sessions across Shibuya, Shinjuku and Minato districts.</w:t>
      </w:r>
    </w:p>
    <w:p>
      <w:pPr>
        <w:numPr>
          <w:ilvl w:val="0"/>
          <w:numId w:val="1001"/>
        </w:numPr>
        <w:pStyle w:val="Compact"/>
      </w:pPr>
      <w:r>
        <w:rPr>
          <w:bCs/>
          <w:b/>
        </w:rPr>
        <w:t xml:space="preserve">The Traditionalists (23%):</w:t>
      </w:r>
      <w:r>
        <w:t xml:space="preserve"> </w:t>
      </w:r>
      <w:r>
        <w:t xml:space="preserve">Older demographics preferring in-person consultations. We've adapted by deploying senior campaign ambassadors at Tokyo's community centers – resulting in a 22% uplift in this segment's support.</w:t>
      </w:r>
    </w:p>
    <w:p>
      <w:pPr>
        <w:pStyle w:val="FirstParagraph"/>
      </w:pPr>
      <w:r>
        <w:t xml:space="preserve">Notably, the Sales Report demonstrates that Tokyo voters respond most positively to personalized value propositions. When our Politician referenced specific neighborhood issues (e.g., "I'll address Shibuya pedestrian safety like I did in Yoyogi Park"), conversion rates increased by 34% versus generic messaging.</w:t>
      </w:r>
    </w:p>
    <w:bookmarkEnd w:id="21"/>
    <w:bookmarkStart w:id="22" w:name="X86bd65e0469693f410163ff1300698dfb8344a6"/>
    <w:p>
      <w:pPr>
        <w:pStyle w:val="Heading2"/>
      </w:pPr>
      <w:r>
        <w:t xml:space="preserve">Performance Metrics: Quantifying Political Sales Success</w:t>
      </w:r>
    </w:p>
    <w:p>
      <w:pPr>
        <w:pStyle w:val="FirstParagraph"/>
      </w:pPr>
      <w:r>
        <w:t xml:space="preserve">The following metrics from our Japan Tokyo sales pipeline show exceptional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Voter Engagement Rate (Digital)</w:t>
            </w:r>
          </w:p>
        </w:tc>
        <w:tc>
          <w:tcPr/>
          <w:p>
            <w:pPr>
              <w:pStyle w:val="Compact"/>
              <w:jc w:val="left"/>
            </w:pPr>
            <w:r>
              <w:t xml:space="preserve">48.7%</w:t>
            </w:r>
          </w:p>
        </w:tc>
        <w:tc>
          <w:tcPr/>
          <w:p>
            <w:pPr>
              <w:pStyle w:val="Compact"/>
              <w:jc w:val="left"/>
            </w:pPr>
            <w:r>
              <w:t xml:space="preserve">36.5%</w:t>
            </w:r>
          </w:p>
        </w:tc>
        <w:tc>
          <w:tcPr/>
          <w:p>
            <w:pPr>
              <w:pStyle w:val="Compact"/>
              <w:jc w:val="left"/>
            </w:pPr>
            <w:r>
              <w:t xml:space="preserve">+33.4%</w:t>
            </w:r>
          </w:p>
        </w:tc>
      </w:tr>
      <w:tr>
        <w:tc>
          <w:tcPr/>
          <w:p>
            <w:pPr>
              <w:pStyle w:val="Compact"/>
              <w:jc w:val="left"/>
            </w:pPr>
            <w:r>
              <w:t xml:space="preserve">New Constituent Sign-ups</w:t>
            </w:r>
          </w:p>
        </w:tc>
        <w:tc>
          <w:tcPr/>
          <w:p>
            <w:pPr>
              <w:pStyle w:val="Compact"/>
              <w:jc w:val="left"/>
            </w:pPr>
            <w:r>
              <w:t xml:space="preserve">22,150</w:t>
            </w:r>
          </w:p>
        </w:tc>
        <w:tc>
          <w:tcPr/>
          <w:p>
            <w:pPr>
              <w:pStyle w:val="Compact"/>
              <w:jc w:val="left"/>
            </w:pPr>
            <w:r>
              <w:t xml:space="preserve">17,800</w:t>
            </w:r>
          </w:p>
        </w:tc>
        <w:tc>
          <w:tcPr/>
          <w:p>
            <w:pPr>
              <w:pStyle w:val="Compact"/>
              <w:jc w:val="left"/>
            </w:pPr>
            <w:r>
              <w:t xml:space="preserve">+24.4%</w:t>
            </w:r>
          </w:p>
        </w:tc>
      </w:tr>
      <w:tr>
        <w:tc>
          <w:tcPr/>
          <w:p>
            <w:pPr>
              <w:pStyle w:val="Compact"/>
              <w:jc w:val="left"/>
            </w:pPr>
            <w:r>
              <w:t xml:space="preserve">Policy Support Score (Tokyo-Specific)</w:t>
            </w:r>
          </w:p>
        </w:tc>
        <w:tc>
          <w:tcPr/>
          <w:p>
            <w:pPr>
              <w:pStyle w:val="Compact"/>
              <w:jc w:val="left"/>
            </w:pPr>
            <w:r>
              <w:t xml:space="preserve">76.3/100</w:t>
            </w:r>
          </w:p>
        </w:tc>
        <w:tc>
          <w:tcPr/>
          <w:p>
            <w:pPr>
              <w:pStyle w:val="Compact"/>
              <w:jc w:val="left"/>
            </w:pPr>
            <w:r>
              <w:t xml:space="preserve">69.8/100</w:t>
            </w:r>
          </w:p>
        </w:tc>
        <w:tc>
          <w:tcPr/>
          <w:p>
            <w:pPr>
              <w:pStyle w:val="Compact"/>
              <w:jc w:val="left"/>
            </w:pPr>
            <w:r>
              <w:t xml:space="preserve">+9.3 points</w:t>
            </w:r>
          </w:p>
        </w:tc>
      </w:tr>
      <w:tr>
        <w:tc>
          <w:tcPr/>
          <w:p>
            <w:pPr>
              <w:pStyle w:val="Compact"/>
              <w:jc w:val="left"/>
            </w:pPr>
            <w:r>
              <w:t xml:space="preserve">Event Conversion Rate (Live Sales)</w:t>
            </w:r>
          </w:p>
        </w:tc>
        <w:tc>
          <w:tcPr/>
          <w:p>
            <w:pPr>
              <w:pStyle w:val="Compact"/>
              <w:jc w:val="left"/>
            </w:pPr>
            <w:r>
              <w:t xml:space="preserve">52%</w:t>
            </w:r>
          </w:p>
        </w:tc>
        <w:tc>
          <w:tcPr/>
          <w:p>
            <w:pPr>
              <w:pStyle w:val="Compact"/>
              <w:jc w:val="left"/>
            </w:pPr>
            <w:r>
              <w:t xml:space="preserve">43%</w:t>
            </w:r>
          </w:p>
        </w:tc>
        <w:tc>
          <w:tcPr/>
          <w:p>
            <w:pPr>
              <w:pStyle w:val="Compact"/>
              <w:jc w:val="left"/>
            </w:pPr>
            <w:r>
              <w:t xml:space="preserve">+20.9%</w:t>
            </w:r>
          </w:p>
        </w:tc>
      </w:tr>
    </w:tbl>
    <w:p>
      <w:pPr>
        <w:pStyle w:val="BodyText"/>
      </w:pPr>
      <w:r>
        <w:t xml:space="preserve">This data proves our Politician's sales methodology in Japan Tokyo is outperforming national averages by 19-37% across all metrics. The Sales Report attributes this to three strategic pillars: hyper-localized messaging, real-time sentiment tracking via Tokyo social media analytics, and a dedicated "customer service" model for constituents.</w:t>
      </w:r>
    </w:p>
    <w:bookmarkEnd w:id="22"/>
    <w:bookmarkStart w:id="23" w:name="challenges-strategic-adjustments"/>
    <w:p>
      <w:pPr>
        <w:pStyle w:val="Heading2"/>
      </w:pPr>
      <w:r>
        <w:t xml:space="preserve">Challenges &amp; Strategic Adjustments</w:t>
      </w:r>
    </w:p>
    <w:p>
      <w:pPr>
        <w:pStyle w:val="FirstParagraph"/>
      </w:pPr>
      <w:r>
        <w:t xml:space="preserve">Despite strong performance, our Sales Report identifies two critical challenges requiring immediate attention:</w:t>
      </w:r>
    </w:p>
    <w:p>
      <w:pPr>
        <w:numPr>
          <w:ilvl w:val="0"/>
          <w:numId w:val="1002"/>
        </w:numPr>
        <w:pStyle w:val="Compact"/>
      </w:pPr>
      <w:r>
        <w:rPr>
          <w:bCs/>
          <w:b/>
        </w:rPr>
        <w:t xml:space="preserve">Competitor Response:</w:t>
      </w:r>
      <w:r>
        <w:t xml:space="preserve"> </w:t>
      </w:r>
      <w:r>
        <w:t xml:space="preserve">Opponents have launched "copycat" digital campaigns. Our remedial action involves deploying AI-driven sentiment analysis to detect and counter misinformation within 2 hours of emergence – a first for Japan Tokyo politics.</w:t>
      </w:r>
    </w:p>
    <w:p>
      <w:pPr>
        <w:numPr>
          <w:ilvl w:val="0"/>
          <w:numId w:val="1002"/>
        </w:numPr>
        <w:pStyle w:val="Compact"/>
      </w:pPr>
      <w:r>
        <w:rPr>
          <w:bCs/>
          <w:b/>
        </w:rPr>
        <w:t xml:space="preserve">Voter Fatigue:</w:t>
      </w:r>
      <w:r>
        <w:t xml:space="preserve"> </w:t>
      </w:r>
      <w:r>
        <w:t xml:space="preserve">18% of new sign-ups expressed "message overload" in Q3. We've implemented a new "Voter Care Pathway" system where our Politician personally follows up with each new supporter via handwritten notes within 72 hours – a tactic proven to boost retention by 28%.</w:t>
      </w:r>
    </w:p>
    <w:p>
      <w:pPr>
        <w:pStyle w:val="FirstParagraph"/>
      </w:pPr>
      <w:r>
        <w:t xml:space="preserve">These adjustments reflect the Sales Report's core principle: political campaigning in Tokyo is not a one-time transaction, but an ongoing relationship that requires continuous "sales" management. The report emphasizes that our Politician must maintain this high-touch approach to prevent competitor attrition.</w:t>
      </w:r>
    </w:p>
    <w:bookmarkEnd w:id="23"/>
    <w:bookmarkStart w:id="24" w:name="future-sales-strategy-for-tokyo-market"/>
    <w:p>
      <w:pPr>
        <w:pStyle w:val="Heading2"/>
      </w:pPr>
      <w:r>
        <w:t xml:space="preserve">Future Sales Strategy for Tokyo Market</w:t>
      </w:r>
    </w:p>
    <w:p>
      <w:pPr>
        <w:pStyle w:val="FirstParagraph"/>
      </w:pPr>
      <w:r>
        <w:t xml:space="preserve">Based on the Q3 Japan Tokyo Sales Report, we recommend three priority initiatives for the Q4 campaign:</w:t>
      </w:r>
    </w:p>
    <w:p>
      <w:pPr>
        <w:numPr>
          <w:ilvl w:val="0"/>
          <w:numId w:val="1003"/>
        </w:numPr>
        <w:pStyle w:val="Compact"/>
      </w:pPr>
      <w:r>
        <w:rPr>
          <w:bCs/>
          <w:b/>
        </w:rPr>
        <w:t xml:space="preserve">Localized Policy "Product Launches":</w:t>
      </w:r>
      <w:r>
        <w:t xml:space="preserve"> </w:t>
      </w:r>
      <w:r>
        <w:t xml:space="preserve">Develop and promote 5 new neighborhood-specific policies (e.g., "Shinjuku Business District Traffic Flow Initiative") with dedicated launch events. Each will target a specific demographic cluster identified in our Sales Report data.</w:t>
      </w:r>
    </w:p>
    <w:p>
      <w:pPr>
        <w:numPr>
          <w:ilvl w:val="0"/>
          <w:numId w:val="1003"/>
        </w:numPr>
        <w:pStyle w:val="Compact"/>
      </w:pPr>
      <w:r>
        <w:rPr>
          <w:bCs/>
          <w:b/>
        </w:rPr>
        <w:t xml:space="preserve">Tokyo Digital Sales Hub:</w:t>
      </w:r>
      <w:r>
        <w:t xml:space="preserve"> </w:t>
      </w:r>
      <w:r>
        <w:t xml:space="preserve">Launch a mobile platform allowing Tokyo residents to "purchase" policy commitments through interactive maps – visualizing how each pledge addresses their exact location. Early beta testing shows 62% higher engagement than traditional digital channels.</w:t>
      </w:r>
    </w:p>
    <w:p>
      <w:pPr>
        <w:numPr>
          <w:ilvl w:val="0"/>
          <w:numId w:val="1003"/>
        </w:numPr>
        <w:pStyle w:val="Compact"/>
      </w:pPr>
      <w:r>
        <w:rPr>
          <w:bCs/>
          <w:b/>
        </w:rPr>
        <w:t xml:space="preserve">Elite Community Ambassador Program:</w:t>
      </w:r>
      <w:r>
        <w:t xml:space="preserve"> </w:t>
      </w:r>
      <w:r>
        <w:t xml:space="preserve">Recruit 50 trusted community leaders across Tokyo as "sales advocates," providing them with exclusive access to the Politician for neighborhood-level strategy sessions. This leverages Japan's strong communal trust networks – proven to accelerate voter conversion by 41%.</w:t>
      </w:r>
    </w:p>
    <w:bookmarkEnd w:id="24"/>
    <w:bookmarkStart w:id="25" w:name="Xeb126a0782459dba8d8e872001d4f74c68f8cff"/>
    <w:p>
      <w:pPr>
        <w:pStyle w:val="Heading2"/>
      </w:pPr>
      <w:r>
        <w:t xml:space="preserve">Conclusion: The Sales Mindset in Modern Politics</w:t>
      </w:r>
    </w:p>
    <w:p>
      <w:pPr>
        <w:pStyle w:val="FirstParagraph"/>
      </w:pPr>
      <w:r>
        <w:t xml:space="preserve">This Sales Report underscores a fundamental shift in Japan Tokyo's political landscape: successful campaigning now operates through sales principles. Where voters once passively consumed content, they are now active participants seeking value exchanges – much like premium consumers evaluating products. Our Politician's mastery of this paradigm has delivered exceptional results, but the market demands continuous innovation.</w:t>
      </w:r>
    </w:p>
    <w:p>
      <w:pPr>
        <w:pStyle w:val="BodyText"/>
      </w:pPr>
      <w:r>
        <w:t xml:space="preserve">As we conclude this Sales Report, we emphasize that every public appearance is a sales opportunity, every policy proposal is a product offering, and Tokyo voters are not just constituents – they are our most valuable customers. The data proves that when political strategy embraces sales methodologies in Japan Tokyo's unique environment, the results transcend elections: they build sustainable community value. We stand ready to execute this refined Sales Strategy with the same precision that has made our Politician a leading force in Tokyo's political marketplace.</w:t>
      </w:r>
    </w:p>
    <w:p>
      <w:pPr>
        <w:pStyle w:val="BodyText"/>
      </w:pPr>
      <w:r>
        <w:rPr>
          <w:bCs/>
          <w:b/>
        </w:rPr>
        <w:t xml:space="preserve">Prepared by:</w:t>
      </w:r>
      <w:r>
        <w:t xml:space="preserve"> </w:t>
      </w:r>
      <w:r>
        <w:t xml:space="preserve">Political Strategy Analytics Division |</w:t>
      </w:r>
      <w:r>
        <w:t xml:space="preserve"> </w:t>
      </w:r>
      <w:r>
        <w:rPr>
          <w:bCs/>
          <w:b/>
        </w:rPr>
        <w:t xml:space="preserve">Confidential:</w:t>
      </w:r>
      <w:r>
        <w:t xml:space="preserve"> </w:t>
      </w:r>
      <w:r>
        <w:t xml:space="preserve">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Politician Sales Report: Tokyo Japan Market Analysis</dc:title>
  <dc:creator/>
  <dc:language>en</dc:language>
  <cp:keywords/>
  <dcterms:created xsi:type="dcterms:W3CDTF">2026-06-06T21:33:01Z</dcterms:created>
  <dcterms:modified xsi:type="dcterms:W3CDTF">2026-06-06T21:33:01Z</dcterms:modified>
</cp:coreProperties>
</file>

<file path=docProps/custom.xml><?xml version="1.0" encoding="utf-8"?>
<Properties xmlns="http://schemas.openxmlformats.org/officeDocument/2006/custom-properties" xmlns:vt="http://schemas.openxmlformats.org/officeDocument/2006/docPropsVTypes"/>
</file>