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Kuwait</w:t>
      </w:r>
      <w:r>
        <w:t xml:space="preserve"> </w:t>
      </w:r>
      <w:r>
        <w:t xml:space="preserve">City</w:t>
      </w:r>
    </w:p>
    <w:bookmarkStart w:id="28" w:name="X23ca4a74d2fdec55c5589804de18c3e7f5f23f3"/>
    <w:p>
      <w:pPr>
        <w:pStyle w:val="Heading1"/>
      </w:pPr>
      <w:r>
        <w:t xml:space="preserve">Comprehensive Sales Performance Report: Political Engagement Campaign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Honorable Parliamentary Committee &amp; National Development Council</w:t>
      </w:r>
      <w:r>
        <w:br/>
      </w:r>
      <w:r>
        <w:rPr>
          <w:bCs/>
          <w:b/>
        </w:rPr>
        <w:t xml:space="preserve">Prepared By:</w:t>
      </w:r>
      <w:r>
        <w:t xml:space="preserve"> </w:t>
      </w:r>
      <w:r>
        <w:t xml:space="preserve">Strategic Political Marketing Division, Kuwait City</w:t>
      </w:r>
    </w:p>
    <w:bookmarkStart w:id="20" w:name="i.-executive-summary"/>
    <w:p>
      <w:pPr>
        <w:pStyle w:val="Heading2"/>
      </w:pPr>
      <w:r>
        <w:t xml:space="preserve">I. Executive Summary</w:t>
      </w:r>
    </w:p>
    <w:p>
      <w:pPr>
        <w:pStyle w:val="FirstParagraph"/>
      </w:pPr>
      <w:r>
        <w:t xml:space="preserve">This Sales Report details the strategic engagement performance of our political campaign across Kuwait City during Q3 2023. As a pivotal marketplace for national political influence, Kuwait City represents 68% of the country's electoral potential and serves as the economic nucleus for all policy implementation. The report quantifies voter acquisition metrics, community outreach success rates, and stakeholder engagement conversions – all critical KPIs for our Politician's re-election campaign. Notably, we achieved a 24% year-over-year increase in constituent interactions while maintaining 92% satisfaction across 18 targeted neighborhoods within Kuwait City proper.</w:t>
      </w:r>
    </w:p>
    <w:bookmarkEnd w:id="20"/>
    <w:bookmarkStart w:id="21" w:name="X42ff5e328fbbae78ee93ade6187ac6143e535bc"/>
    <w:p>
      <w:pPr>
        <w:pStyle w:val="Heading2"/>
      </w:pPr>
      <w:r>
        <w:t xml:space="preserve">II. Market Analysis: Kuwait City Political Landscape</w:t>
      </w:r>
    </w:p>
    <w:p>
      <w:pPr>
        <w:pStyle w:val="FirstParagraph"/>
      </w:pPr>
      <w:r>
        <w:t xml:space="preserve">Kuwait City operates as the undisputed political epicenter of the Gulf Cooperation Council, housing all governmental institutions, diplomatic corps, and 73% of national media outlets. This concentration creates unique challenges for our Politician's campaign: high visibility demands exceptional messaging precision while navigating complex tribal and socio-economic networks. Our Sales Report identifies three critical segments driving voter acquisition:</w:t>
      </w:r>
    </w:p>
    <w:p>
      <w:pPr>
        <w:numPr>
          <w:ilvl w:val="0"/>
          <w:numId w:val="1001"/>
        </w:numPr>
        <w:pStyle w:val="Compact"/>
      </w:pPr>
      <w:r>
        <w:rPr>
          <w:bCs/>
          <w:b/>
        </w:rPr>
        <w:t xml:space="preserve">Urban Professional Class (42% of Kuwait City):</w:t>
      </w:r>
      <w:r>
        <w:t xml:space="preserve"> </w:t>
      </w:r>
      <w:r>
        <w:t xml:space="preserve">High-value demographic seeking economic reforms; responded strongly to digital campaign sales ($15k+ in targeted ad spend conversion)</w:t>
      </w:r>
    </w:p>
    <w:p>
      <w:pPr>
        <w:numPr>
          <w:ilvl w:val="0"/>
          <w:numId w:val="1001"/>
        </w:numPr>
        <w:pStyle w:val="Compact"/>
      </w:pPr>
      <w:r>
        <w:rPr>
          <w:bCs/>
          <w:b/>
        </w:rPr>
        <w:t xml:space="preserve">Traditional Community Leaders (31%):</w:t>
      </w:r>
      <w:r>
        <w:t xml:space="preserve"> </w:t>
      </w:r>
      <w:r>
        <w:t xml:space="preserve">Influential tribal elders requiring personalized engagement; 89% approval rate after tailored village meetings</w:t>
      </w:r>
    </w:p>
    <w:p>
      <w:pPr>
        <w:numPr>
          <w:ilvl w:val="0"/>
          <w:numId w:val="1001"/>
        </w:numPr>
        <w:pStyle w:val="Compact"/>
      </w:pPr>
      <w:r>
        <w:rPr>
          <w:bCs/>
          <w:b/>
        </w:rPr>
        <w:t xml:space="preserve">Youth Demographics (27%):</w:t>
      </w:r>
      <w:r>
        <w:t xml:space="preserve"> </w:t>
      </w:r>
      <w:r>
        <w:t xml:space="preserve">Primary growth segment; social media campaigns generated 4,200 verified voter registrations through our "Future Builder" initiative</w:t>
      </w:r>
    </w:p>
    <w:bookmarkEnd w:id="21"/>
    <w:bookmarkStart w:id="22" w:name="Xbe4fcbe312f89e6c678159ba864b971012c29ca"/>
    <w:p>
      <w:pPr>
        <w:pStyle w:val="Heading2"/>
      </w:pPr>
      <w:r>
        <w:t xml:space="preserve">III. Sales Performance Breakdown: Key Metrics</w:t>
      </w:r>
    </w:p>
    <w:p>
      <w:pPr>
        <w:pStyle w:val="FirstParagraph"/>
      </w:pPr>
      <w:r>
        <w:t xml:space="preserve">Performance Indicator</w:t>
      </w:r>
    </w:p>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Voter Acquisition Rate (New Registrations)</w:t>
      </w:r>
    </w:p>
    <w:p>
      <w:pPr>
        <w:pStyle w:val="BodyText"/>
      </w:pPr>
      <w:r>
        <w:t xml:space="preserve">5,800</w:t>
      </w:r>
    </w:p>
    <w:p>
      <w:pPr>
        <w:pStyle w:val="BodyText"/>
      </w:pPr>
      <w:r>
        <w:t xml:space="preserve">6,321</w:t>
      </w:r>
    </w:p>
    <w:p>
      <w:pPr>
        <w:pStyle w:val="BodyText"/>
      </w:pPr>
      <w:r>
        <w:t xml:space="preserve">+9.0%</w:t>
      </w:r>
    </w:p>
    <w:p>
      <w:pPr>
        <w:pStyle w:val="BodyText"/>
      </w:pPr>
      <w:r>
        <w:t xml:space="preserve">Community Event Attendance (Kuwait City)</w:t>
      </w:r>
    </w:p>
    <w:p>
      <w:pPr>
        <w:pStyle w:val="BodyText"/>
      </w:pPr>
      <w:r>
        <w:t xml:space="preserve">42 events</w:t>
      </w:r>
    </w:p>
    <w:p>
      <w:pPr>
        <w:pStyle w:val="BodyText"/>
      </w:pPr>
      <w:r>
        <w:t xml:space="preserve">47 events</w:t>
      </w:r>
    </w:p>
    <w:p>
      <w:pPr>
        <w:pStyle w:val="BodyText"/>
      </w:pPr>
      <w:r>
        <w:t xml:space="preserve">Social Media Engagement Rate</w:t>
      </w:r>
    </w:p>
    <w:p>
      <w:pPr>
        <w:pStyle w:val="BodyText"/>
      </w:pPr>
      <w:r>
        <w:t xml:space="preserve">&lt;</w:t>
      </w:r>
    </w:p>
    <w:p>
      <w:pPr>
        <w:pStyle w:val="BodyText"/>
      </w:pPr>
      <w:r>
        <w:t xml:space="preserve">8.2%</w:t>
      </w:r>
    </w:p>
    <w:p>
      <w:pPr>
        <w:pStyle w:val="BodyText"/>
      </w:pPr>
      <w:r>
        <w:t xml:space="preserve">10.6%</w:t>
      </w:r>
    </w:p>
    <w:p>
      <w:pPr>
        <w:pStyle w:val="BodyText"/>
      </w:pPr>
      <w:r>
        <w:t xml:space="preserve">&lt;</w:t>
      </w:r>
    </w:p>
    <w:p>
      <w:pPr>
        <w:pStyle w:val="BodyText"/>
      </w:pPr>
      <w:r>
        <w:t xml:space="preserve">+30.5%</w:t>
      </w:r>
    </w:p>
    <w:p>
      <w:pPr>
        <w:pStyle w:val="BodyText"/>
      </w:pPr>
      <w:r>
        <w:t xml:space="preserve">Campaign Donor Conversion (Kuwaiti Businesses)</w:t>
      </w:r>
    </w:p>
    <w:p>
      <w:pPr>
        <w:pStyle w:val="BodyText"/>
      </w:pPr>
      <w:r>
        <w:t xml:space="preserve">98</w:t>
      </w:r>
    </w:p>
    <w:p>
      <w:pPr>
        <w:pStyle w:val="BodyText"/>
      </w:pPr>
      <w:r>
        <w:t xml:space="preserve">&lt;</w:t>
      </w:r>
    </w:p>
    <w:p>
      <w:pPr>
        <w:pStyle w:val="BodyText"/>
      </w:pPr>
      <w:r>
        <w:t xml:space="preserve">127</w:t>
      </w:r>
    </w:p>
    <w:p>
      <w:pPr>
        <w:pStyle w:val="BodyText"/>
      </w:pPr>
      <w:r>
        <w:t xml:space="preserve">+29.6%</w:t>
      </w:r>
    </w:p>
    <w:p>
      <w:pPr>
        <w:pStyle w:val="BodyText"/>
      </w:pPr>
      <w:r>
        <w:t xml:space="preserve">The Politician's signature initiative, "Kuwait City Prosperity Plan," generated exceptional sales velocity. This policy package (focused on infrastructure, youth employment and cultural preservation) converted 37% of inquiry leads into active campaign supporters – far exceeding the national average of 21%. Our Sales Report attributes this success to hyper-localized messaging that directly addressed issues in districts like Salmiya, Hawalli, and Al-Rawdha.</w:t>
      </w:r>
    </w:p>
    <w:bookmarkEnd w:id="22"/>
    <w:bookmarkStart w:id="23" w:name="Xa3ffa281026b2f576c286753c9312028b153626"/>
    <w:p>
      <w:pPr>
        <w:pStyle w:val="Heading2"/>
      </w:pPr>
      <w:r>
        <w:t xml:space="preserve">IV. Kuwait City-Specific Campaign Strategies</w:t>
      </w:r>
    </w:p>
    <w:p>
      <w:pPr>
        <w:pStyle w:val="FirstParagraph"/>
      </w:pPr>
      <w:r>
        <w:t xml:space="preserve">Our approach prioritized cultural resonance within Kuwait City's unique political ecosystem:</w:t>
      </w:r>
    </w:p>
    <w:p>
      <w:pPr>
        <w:numPr>
          <w:ilvl w:val="0"/>
          <w:numId w:val="1002"/>
        </w:numPr>
        <w:pStyle w:val="Compact"/>
      </w:pPr>
      <w:r>
        <w:rPr>
          <w:bCs/>
          <w:b/>
        </w:rPr>
        <w:t xml:space="preserve">Neighborhood-Level Engagement:</w:t>
      </w:r>
      <w:r>
        <w:t xml:space="preserve"> </w:t>
      </w:r>
      <w:r>
        <w:t xml:space="preserve">Deployed 14 district-specific teams conducting weekly "Salaam Sessions" in community centers. These gatherings – attended by 6,800 residents – focused on resolving local issues (e.g., traffic management in Mansoura, waste disposal in Farwaniya) rather than generic policy pitches.</w:t>
      </w:r>
    </w:p>
    <w:p>
      <w:pPr>
        <w:numPr>
          <w:ilvl w:val="0"/>
          <w:numId w:val="1002"/>
        </w:numPr>
        <w:pStyle w:val="Compact"/>
      </w:pPr>
      <w:r>
        <w:rPr>
          <w:bCs/>
          <w:b/>
        </w:rPr>
        <w:t xml:space="preserve">Digital Sales Funnel Optimization:</w:t>
      </w:r>
      <w:r>
        <w:t xml:space="preserve"> </w:t>
      </w:r>
      <w:r>
        <w:t xml:space="preserve">Launched Arabic-language campaign app featuring real-time budget tracking for Kuwait City projects. This drove 18% of new voter registrations through app-based "Issue Reporting" features, directly linking community concerns to the Politician's legislative agenda.</w:t>
      </w:r>
    </w:p>
    <w:p>
      <w:pPr>
        <w:numPr>
          <w:ilvl w:val="0"/>
          <w:numId w:val="1002"/>
        </w:numPr>
        <w:pStyle w:val="Compact"/>
      </w:pPr>
      <w:r>
        <w:rPr>
          <w:bCs/>
          <w:b/>
        </w:rPr>
        <w:t xml:space="preserve">Cultural Alignment Strategy:</w:t>
      </w:r>
      <w:r>
        <w:t xml:space="preserve"> </w:t>
      </w:r>
      <w:r>
        <w:t xml:space="preserve">Partnered with 32 traditional Kuwaiti art collectives to create campaign materials reflecting Al-Arabiya aesthetics. This elevated trust metrics by 31% among older demographics in Kuwait City's historic districts.</w:t>
      </w:r>
    </w:p>
    <w:bookmarkEnd w:id="23"/>
    <w:bookmarkStart w:id="24" w:name="v.-challenges-and-adaptive-solutions"/>
    <w:p>
      <w:pPr>
        <w:pStyle w:val="Heading2"/>
      </w:pPr>
      <w:r>
        <w:t xml:space="preserve">V. Challenges and Adaptive Solutions</w:t>
      </w:r>
    </w:p>
    <w:p>
      <w:pPr>
        <w:pStyle w:val="FirstParagraph"/>
      </w:pPr>
      <w:r>
        <w:t xml:space="preserve">Despite strong performance, we encountered critical hurdles unique to Kuwait City political operations:</w:t>
      </w:r>
    </w:p>
    <w:p>
      <w:pPr>
        <w:numPr>
          <w:ilvl w:val="0"/>
          <w:numId w:val="1003"/>
        </w:numPr>
        <w:pStyle w:val="Compact"/>
      </w:pPr>
      <w:r>
        <w:rPr>
          <w:bCs/>
          <w:b/>
        </w:rPr>
        <w:t xml:space="preserve">Media Scrutiny Pressure:</w:t>
      </w:r>
      <w:r>
        <w:t xml:space="preserve"> </w:t>
      </w:r>
      <w:r>
        <w:t xml:space="preserve">High media concentration required 73% of all campaign messaging to undergo legal review. Our solution: Created a dedicated "Kuwait City Media Response Unit" that reduced approval timelines by 58%.</w:t>
      </w:r>
    </w:p>
    <w:p>
      <w:pPr>
        <w:numPr>
          <w:ilvl w:val="0"/>
          <w:numId w:val="1003"/>
        </w:numPr>
        <w:pStyle w:val="Compact"/>
      </w:pPr>
      <w:r>
        <w:rPr>
          <w:bCs/>
          <w:b/>
        </w:rPr>
        <w:t xml:space="preserve">Tribal Network Complexity:</w:t>
      </w:r>
      <w:r>
        <w:t xml:space="preserve"> </w:t>
      </w:r>
      <w:r>
        <w:t xml:space="preserve">Kuwait City's tribal affiliations require personalized engagement depth. We developed the "Nukhba System" – mapping voter relationships to specific tribal leaders for targeted outreach, increasing conversion rates by 26% in contested areas.</w:t>
      </w:r>
    </w:p>
    <w:p>
      <w:pPr>
        <w:pStyle w:val="FirstParagraph"/>
      </w:pPr>
      <w:r>
        <w:t xml:space="preserve">The Politician's consistent presence at key Kuwait City events (notably the Kuwait International Fair and National Day celebrations) drove measurable sales impact. Attendance at these events generated 1,400 qualified leads with a follow-up conversion rate of 78% – significantly higher than standard campaign events.</w:t>
      </w:r>
    </w:p>
    <w:bookmarkEnd w:id="24"/>
    <w:bookmarkStart w:id="25" w:name="Xe6f068b6b94d9cb8b38ffc5d1a25bdcfab120e3"/>
    <w:p>
      <w:pPr>
        <w:pStyle w:val="Heading2"/>
      </w:pPr>
      <w:r>
        <w:t xml:space="preserve">VI. Financial Performance &amp; Resource Allocation</w:t>
      </w:r>
    </w:p>
    <w:p>
      <w:pPr>
        <w:pStyle w:val="FirstParagraph"/>
      </w:pPr>
      <w:r>
        <w:t xml:space="preserve">Total Campaign Investment: KD 385,400 (Q3 2023)</w:t>
      </w:r>
      <w:r>
        <w:br/>
      </w:r>
      <w:r>
        <w:t xml:space="preserve">Return on Engagement Investment (ROEI): 4.7x</w:t>
      </w:r>
    </w:p>
    <w:p>
      <w:pPr>
        <w:pStyle w:val="BodyText"/>
      </w:pPr>
      <w:r>
        <w:t xml:space="preserve">Funds were strategically allocated to Kuwait City priorities:</w:t>
      </w:r>
    </w:p>
    <w:p>
      <w:pPr>
        <w:numPr>
          <w:ilvl w:val="0"/>
          <w:numId w:val="1004"/>
        </w:numPr>
        <w:pStyle w:val="Compact"/>
      </w:pPr>
      <w:r>
        <w:t xml:space="preserve">61% – Hyper-localized community events in targeted districts</w:t>
      </w:r>
    </w:p>
    <w:p>
      <w:pPr>
        <w:numPr>
          <w:ilvl w:val="0"/>
          <w:numId w:val="1004"/>
        </w:numPr>
        <w:pStyle w:val="Compact"/>
      </w:pPr>
      <w:r>
        <w:t xml:space="preserve">22% – Digital engagement platforms for youth and professionals</w:t>
      </w:r>
    </w:p>
    <w:p>
      <w:pPr>
        <w:numPr>
          <w:ilvl w:val="0"/>
          <w:numId w:val="1004"/>
        </w:numPr>
        <w:pStyle w:val="Compact"/>
      </w:pPr>
      <w:r>
        <w:t xml:space="preserve">17% – Cultural partnership initiatives with Kuwaiti heritage organizations</w:t>
      </w:r>
    </w:p>
    <w:bookmarkEnd w:id="25"/>
    <w:bookmarkStart w:id="26" w:name="X07e0e664e4b26f86448f05b2b306c5ace3712bd"/>
    <w:p>
      <w:pPr>
        <w:pStyle w:val="Heading2"/>
      </w:pPr>
      <w:r>
        <w:t xml:space="preserve">VII. Future Roadmap: Kuwait City Political Sales Expansion</w:t>
      </w:r>
    </w:p>
    <w:p>
      <w:pPr>
        <w:pStyle w:val="FirstParagraph"/>
      </w:pPr>
      <w:r>
        <w:t xml:space="preserve">This Sales Report recommends three strategic expansions for the Politician's campaign:</w:t>
      </w:r>
    </w:p>
    <w:p>
      <w:pPr>
        <w:numPr>
          <w:ilvl w:val="0"/>
          <w:numId w:val="1005"/>
        </w:numPr>
        <w:pStyle w:val="Compact"/>
      </w:pPr>
      <w:r>
        <w:rPr>
          <w:bCs/>
          <w:b/>
        </w:rPr>
        <w:t xml:space="preserve">Phase 2 of "Kuwait City Prosperity Plan":</w:t>
      </w:r>
      <w:r>
        <w:t xml:space="preserve"> </w:t>
      </w:r>
      <w:r>
        <w:t xml:space="preserve">Allocate KD 150,000 to fund district-specific pilot projects (e.g., smart traffic systems in Salmiya) as tangible evidence of campaign promises. This will create immediate voter conversion opportunities.</w:t>
      </w:r>
    </w:p>
    <w:p>
      <w:pPr>
        <w:numPr>
          <w:ilvl w:val="0"/>
          <w:numId w:val="1005"/>
        </w:numPr>
        <w:pStyle w:val="Compact"/>
      </w:pPr>
      <w:r>
        <w:rPr>
          <w:bCs/>
          <w:b/>
        </w:rPr>
        <w:t xml:space="preserve">Elite Network Expansion:</w:t>
      </w:r>
      <w:r>
        <w:t xml:space="preserve"> </w:t>
      </w:r>
      <w:r>
        <w:t xml:space="preserve">Develop "Kuwait City Leadership Council" – a formal advisory group comprising 50+ prominent business and cultural figures from across Kuwait City to provide policy co-creation insights.</w:t>
      </w:r>
    </w:p>
    <w:p>
      <w:pPr>
        <w:numPr>
          <w:ilvl w:val="0"/>
          <w:numId w:val="1005"/>
        </w:numPr>
        <w:pStyle w:val="Compact"/>
      </w:pPr>
      <w:r>
        <w:rPr>
          <w:bCs/>
          <w:b/>
        </w:rPr>
        <w:t xml:space="preserve">Digital Voter Sales Platform:</w:t>
      </w:r>
      <w:r>
        <w:t xml:space="preserve"> </w:t>
      </w:r>
      <w:r>
        <w:t xml:space="preserve">Launch AI-powered campaign app with personalized issue-matching capabilities, targeting 35% higher conversion rates among tech-savvy Kuwait City residents by Q1 2024.</w:t>
      </w:r>
    </w:p>
    <w:bookmarkEnd w:id="26"/>
    <w:bookmarkStart w:id="27" w:name="viii.-conclusion"/>
    <w:p>
      <w:pPr>
        <w:pStyle w:val="Heading2"/>
      </w:pPr>
      <w:r>
        <w:t xml:space="preserve">VIII. Conclusion</w:t>
      </w:r>
    </w:p>
    <w:p>
      <w:pPr>
        <w:pStyle w:val="FirstParagraph"/>
      </w:pPr>
      <w:r>
        <w:t xml:space="preserve">This Sales Report affirms that strategic political engagement in Kuwait City operates as a high-value sales channel requiring cultural intelligence and hyper-local execution. The Politician's campaign has demonstrated exceptional performance by treating voter acquisition as a premium sales process rather than generic campaigning. With 86% of Kuwait City residents now recognizing the Politician's name (up from 73% in Q1), and measurable increases in community trust metrics, our sales strategy has positioned this political figure for significant electoral momentum.</w:t>
      </w:r>
    </w:p>
    <w:p>
      <w:pPr>
        <w:pStyle w:val="BodyText"/>
      </w:pPr>
      <w:r>
        <w:t xml:space="preserve">As a vital center for national policy formation, Kuwait City represents more than just a geographic market – it is the proving ground for every major legislative initiative. The success documented in this report confirms that when political engagement aligns with Kuwait City's unique socio-cultural dynamics, voter acquisition becomes both measurable and sustainable. We project 32% higher voter conversion rates across all of Kuwait by implementing these Kuwait City-tested strategies nationally.</w:t>
      </w:r>
    </w:p>
    <w:p>
      <w:pPr>
        <w:pStyle w:val="BodyText"/>
      </w:pPr>
      <w:r>
        <w:rPr>
          <w:iCs/>
          <w:i/>
        </w:rPr>
        <w:t xml:space="preserve">Prepared with strategic alignment to the National Development Vision 2035. All data sourced from official Kuwaiti Electoral Commission records and verified campaign analytics systems.</w:t>
      </w:r>
    </w:p>
    <w:p>
      <w:r>
        <w:pict>
          <v:rect style="width:0;height:1.5pt" o:hralign="center" o:hrstd="t" o:hr="t"/>
        </w:pict>
      </w:r>
    </w:p>
    <w:p>
      <w:pPr>
        <w:pStyle w:val="FirstParagraph"/>
      </w:pPr>
      <w:r>
        <w:rPr>
          <w:bCs/>
          <w:b/>
        </w:rPr>
        <w:t xml:space="preserve">Report End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Kuwait City</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