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Activities</w:t>
      </w:r>
      <w:r>
        <w:t xml:space="preserve"> </w:t>
      </w:r>
      <w:r>
        <w:t xml:space="preserve">-</w:t>
      </w:r>
      <w:r>
        <w:t xml:space="preserve"> </w:t>
      </w:r>
      <w:r>
        <w:t xml:space="preserve">Kuala</w:t>
      </w:r>
      <w:r>
        <w:t xml:space="preserve"> </w:t>
      </w:r>
      <w:r>
        <w:t xml:space="preserve">Lumpur,</w:t>
      </w:r>
      <w:r>
        <w:t xml:space="preserve"> </w:t>
      </w:r>
      <w:r>
        <w:t xml:space="preserve">Malaysia</w:t>
      </w:r>
    </w:p>
    <w:bookmarkStart w:id="29" w:name="X1c8623b0d0ea3e46a6f05f387f477108c80b975"/>
    <w:p>
      <w:pPr>
        <w:pStyle w:val="Heading1"/>
      </w:pPr>
      <w:r>
        <w:t xml:space="preserve">SALES REPORT: POLITICAL CAMPAIGN ACTIVITIES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Honorable [Politician's Name], Parliamentary Campaign Team</w:t>
      </w:r>
      <w:r>
        <w:br/>
      </w:r>
      <w:r>
        <w:rPr>
          <w:bCs/>
          <w:b/>
        </w:rPr>
        <w:t xml:space="preserve">Location:</w:t>
      </w:r>
      <w:r>
        <w:t xml:space="preserve"> </w:t>
      </w:r>
      <w:r>
        <w:t xml:space="preserve">Kuala Lumpur, Malaysia (Federal Territory)</w:t>
      </w:r>
    </w:p>
    <w:bookmarkStart w:id="20" w:name="i.-executive-summary"/>
    <w:p>
      <w:pPr>
        <w:pStyle w:val="Heading2"/>
      </w:pPr>
      <w:r>
        <w:t xml:space="preserve">I. Executive Summary</w:t>
      </w:r>
    </w:p>
    <w:p>
      <w:pPr>
        <w:pStyle w:val="FirstParagraph"/>
      </w:pPr>
      <w:r>
        <w:t xml:space="preserve">This comprehensive Sales Report details the financial performance of political campaign activities conducted across Malaysia Kuala Lumpur during Q3 2023 (July 1 - September 30). The report quantifies revenue streams generated through event ticketing, merchandise sales, and strategic partnerships aligned with the [Politician's Name] campaign. Notably, Kuala Lumpur—Malaysia's economic and political capital—served as the primary operational hub for all initiatives. Total sales volume reached RM 847,325.60 (Malaysian Ringgit), representing a 27% increase from Q2 2023 and exceeding our quarterly target by 19%. This growth underscores the strong voter engagement and commercial viability of the politician's outreach strategy within Malaysia Kuala Lumpur's urban landscape.</w:t>
      </w:r>
    </w:p>
    <w:bookmarkEnd w:id="20"/>
    <w:bookmarkStart w:id="21" w:name="ii.-sales-performance-overview"/>
    <w:p>
      <w:pPr>
        <w:pStyle w:val="Heading2"/>
      </w:pPr>
      <w:r>
        <w:t xml:space="preserve">II. Sales Performance Overview</w:t>
      </w:r>
    </w:p>
    <w:p>
      <w:pPr>
        <w:pStyle w:val="FirstParagraph"/>
      </w:pPr>
      <w:r>
        <w:t xml:space="preserve">The Sales Report confirms that political campaigning in Malaysia Kuala Lumpur has evolved into a sophisticated revenue-generating model requiring strategic sales management. Unlike traditional electioneering, this campaign leveraged commercial principles to fund grassroots mobilization while delivering value to supporters. Key highlights include:</w:t>
      </w:r>
    </w:p>
    <w:p>
      <w:pPr>
        <w:numPr>
          <w:ilvl w:val="0"/>
          <w:numId w:val="1001"/>
        </w:numPr>
        <w:pStyle w:val="Compact"/>
      </w:pPr>
      <w:r>
        <w:rPr>
          <w:bCs/>
          <w:b/>
        </w:rPr>
        <w:t xml:space="preserve">Merchandise Sales:</w:t>
      </w:r>
      <w:r>
        <w:t xml:space="preserve"> </w:t>
      </w:r>
      <w:r>
        <w:t xml:space="preserve">RM 315,200 (37% of total revenue) - Dominated by branded apparel and eco-friendly campaign kits sold at KL-based events.</w:t>
      </w:r>
    </w:p>
    <w:p>
      <w:pPr>
        <w:numPr>
          <w:ilvl w:val="0"/>
          <w:numId w:val="1001"/>
        </w:numPr>
        <w:pStyle w:val="Compact"/>
      </w:pPr>
      <w:r>
        <w:rPr>
          <w:bCs/>
          <w:b/>
        </w:rPr>
        <w:t xml:space="preserve">Event Ticketing:</w:t>
      </w:r>
      <w:r>
        <w:t xml:space="preserve"> </w:t>
      </w:r>
      <w:r>
        <w:t xml:space="preserve">RM 428,150 (50.6% of total revenue) - Premium access to rallies and policy forums in iconic Kuala Lumpur venues.</w:t>
      </w:r>
    </w:p>
    <w:p>
      <w:pPr>
        <w:numPr>
          <w:ilvl w:val="0"/>
          <w:numId w:val="1001"/>
        </w:numPr>
        <w:pStyle w:val="Compact"/>
      </w:pPr>
      <w:r>
        <w:rPr>
          <w:bCs/>
          <w:b/>
        </w:rPr>
        <w:t xml:space="preserve">Strategic Partnerships:</w:t>
      </w:r>
      <w:r>
        <w:t xml:space="preserve"> </w:t>
      </w:r>
      <w:r>
        <w:t xml:space="preserve">RM 104,975 (12.4% of total revenue) - Collaborations with KL-based businesses for sponsored events and promotional bundles.</w:t>
      </w:r>
    </w:p>
    <w:bookmarkEnd w:id="21"/>
    <w:bookmarkStart w:id="24" w:name="X98c37a9976efbc5d122fcbd9228f0bef3a65d4f"/>
    <w:p>
      <w:pPr>
        <w:pStyle w:val="Heading2"/>
      </w:pPr>
      <w:r>
        <w:t xml:space="preserve">III. Kuala Lumpur-Specific Campaign Analysis</w:t>
      </w:r>
    </w:p>
    <w:p>
      <w:pPr>
        <w:pStyle w:val="FirstParagraph"/>
      </w:pPr>
      <w:r>
        <w:t xml:space="preserve">The Sales Report emphasizes how Malaysia Kuala Lumpur's unique urban dynamics shaped campaign success:</w:t>
      </w:r>
    </w:p>
    <w:bookmarkStart w:id="22" w:name="X3bde904ca815d6101a93e6d388ce306ad6a03a9"/>
    <w:p>
      <w:pPr>
        <w:pStyle w:val="Heading3"/>
      </w:pPr>
      <w:r>
        <w:t xml:space="preserve">A. District-Wise Sales Breakdown (Kuala Lumpur)</w:t>
      </w:r>
    </w:p>
    <w:p>
      <w:pPr>
        <w:pStyle w:val="FirstParagraph"/>
      </w:pPr>
      <w:r>
        <w:t xml:space="preserve">District</w:t>
      </w:r>
    </w:p>
    <w:p>
      <w:pPr>
        <w:pStyle w:val="BodyText"/>
      </w:pPr>
      <w:r>
        <w:t xml:space="preserve">Merchandise Sales (RM)</w:t>
      </w:r>
    </w:p>
    <w:p>
      <w:pPr>
        <w:pStyle w:val="BodyText"/>
      </w:pPr>
      <w:r>
        <w:t xml:space="preserve">Event Ticket Revenue (RM)</w:t>
      </w:r>
    </w:p>
    <w:p>
      <w:pPr>
        <w:pStyle w:val="BodyText"/>
      </w:pPr>
      <w:r>
        <w:t xml:space="preserve">Total Sales (RM)</w:t>
      </w:r>
    </w:p>
    <w:p>
      <w:pPr>
        <w:pStyle w:val="BodyText"/>
      </w:pPr>
      <w:r>
        <w:t xml:space="preserve">Petaling Jaya</w:t>
      </w:r>
    </w:p>
    <w:p>
      <w:pPr>
        <w:pStyle w:val="BodyText"/>
      </w:pPr>
      <w:r>
        <w:t xml:space="preserve">128,450</w:t>
      </w:r>
    </w:p>
    <w:p>
      <w:pPr>
        <w:pStyle w:val="BodyText"/>
      </w:pPr>
      <w:r>
        <w:t xml:space="preserve">176,200</w:t>
      </w:r>
    </w:p>
    <w:p>
      <w:pPr>
        <w:pStyle w:val="BodyText"/>
      </w:pPr>
      <w:r>
        <w:t xml:space="preserve">304,650</w:t>
      </w:r>
    </w:p>
    <w:p>
      <w:pPr>
        <w:pStyle w:val="BodyText"/>
      </w:pPr>
      <w:r>
        <w:t xml:space="preserve">Kuala Lumpur City Centre (KLCC)</w:t>
      </w:r>
    </w:p>
    <w:p>
      <w:pPr>
        <w:pStyle w:val="BodyText"/>
      </w:pPr>
      <w:r>
        <w:t xml:space="preserve">95,380</w:t>
      </w:r>
    </w:p>
    <w:p>
      <w:pPr>
        <w:pStyle w:val="BodyText"/>
      </w:pPr>
      <w:r>
        <w:t xml:space="preserve">142,750</w:t>
      </w:r>
    </w:p>
    <w:p>
      <w:pPr>
        <w:pStyle w:val="BodyText"/>
      </w:pPr>
      <w:r>
        <w:t xml:space="preserve">&lt;</w:t>
      </w:r>
    </w:p>
    <w:p>
      <w:pPr>
        <w:pStyle w:val="BodyText"/>
      </w:pPr>
      <w:r>
        <w:t xml:space="preserve">238,130</w:t>
      </w:r>
    </w:p>
    <w:p>
      <w:pPr>
        <w:pStyle w:val="BodyText"/>
      </w:pPr>
      <w:r>
        <w:rPr>
          <w:bCs/>
          <w:b/>
        </w:rPr>
        <w:t xml:space="preserve">Total Kuala Lumpur Districts</w:t>
      </w:r>
    </w:p>
    <w:p>
      <w:pPr>
        <w:pStyle w:val="BodyText"/>
      </w:pPr>
      <w:r>
        <w:t xml:space="preserve">Total Sales</w:t>
      </w:r>
    </w:p>
    <w:p>
      <w:pPr>
        <w:pStyle w:val="BodyText"/>
      </w:pPr>
      <w:r>
        <w:rPr>
          <w:bCs/>
          <w:b/>
        </w:rPr>
        <w:t xml:space="preserve">RM 847,325.60</w:t>
      </w:r>
    </w:p>
    <w:p>
      <w:pPr>
        <w:pStyle w:val="BodyText"/>
      </w:pPr>
      <w:r>
        <w:t xml:space="preserve">KLCC emerged as the most lucrative district due to its concentration of corporate offices and high-net-worth individuals, demonstrating how Malaysia Kuala Lumpur's economic core directly correlates with political engagement. The politician strategically hosted 12 premium events at KLCC venues, generating RM 142,750 from ticket sales alone—proving that urban business districts in Kuala Lumpur are viable commercial hubs for political campaigns.</w:t>
      </w:r>
    </w:p>
    <w:bookmarkEnd w:id="22"/>
    <w:bookmarkStart w:id="23" w:name="X29e585300e77dfd9236c911e186cbbd098e62cb"/>
    <w:p>
      <w:pPr>
        <w:pStyle w:val="Heading3"/>
      </w:pPr>
      <w:r>
        <w:t xml:space="preserve">B. Merchandise Sales: Beyond Branded Items</w:t>
      </w:r>
    </w:p>
    <w:p>
      <w:pPr>
        <w:pStyle w:val="FirstParagraph"/>
      </w:pPr>
      <w:r>
        <w:t xml:space="preserve">Contrary to conventional political merchandising, the campaign introduced "Impact Kits" (RM 85-120) containing eco-friendly products aligned with the politician's policy platform on sustainable development. These kits sold out in all Kuala Lumpur districts within 72 hours of launch. The Sales Report notes a direct correlation between policy relevance and sales velocity: 83% of purchasers cited the politician's environmental policies as their primary motivator—evidence that Malaysia Kuala Lumpur voters prioritize issue-driven engagement over superficial branding.</w:t>
      </w:r>
    </w:p>
    <w:bookmarkEnd w:id="23"/>
    <w:bookmarkEnd w:id="24"/>
    <w:bookmarkStart w:id="25" w:name="X6b856ed9362b794e068316bce8b7d52afa02fdd"/>
    <w:p>
      <w:pPr>
        <w:pStyle w:val="Heading2"/>
      </w:pPr>
      <w:r>
        <w:t xml:space="preserve">IV. Strategic Insights from the Sales Report</w:t>
      </w:r>
    </w:p>
    <w:p>
      <w:pPr>
        <w:pStyle w:val="FirstParagraph"/>
      </w:pPr>
      <w:r>
        <w:t xml:space="preserve">The Sales Report reveals critical success factors unique to Malaysia Kuala Lumpur:</w:t>
      </w:r>
    </w:p>
    <w:p>
      <w:pPr>
        <w:numPr>
          <w:ilvl w:val="0"/>
          <w:numId w:val="1002"/>
        </w:numPr>
        <w:pStyle w:val="Compact"/>
      </w:pPr>
      <w:r>
        <w:rPr>
          <w:bCs/>
          <w:b/>
        </w:rPr>
        <w:t xml:space="preserve">Urban Event Localization:</w:t>
      </w:r>
      <w:r>
        <w:t xml:space="preserve"> </w:t>
      </w:r>
      <w:r>
        <w:t xml:space="preserve">All 18 major rallies in KL were held at district-level venues (e.g., Bangsar Community Center, Cheras Sport Complex), increasing accessibility and local sales by 34% versus centralized stadium events.</w:t>
      </w:r>
    </w:p>
    <w:p>
      <w:pPr>
        <w:numPr>
          <w:ilvl w:val="0"/>
          <w:numId w:val="1002"/>
        </w:numPr>
        <w:pStyle w:val="Compact"/>
      </w:pPr>
      <w:r>
        <w:rPr>
          <w:bCs/>
          <w:b/>
        </w:rPr>
        <w:t xml:space="preserve">Data-Driven Targeting:</w:t>
      </w:r>
      <w:r>
        <w:t xml:space="preserve"> </w:t>
      </w:r>
      <w:r>
        <w:t xml:space="preserve">Using Malaysia Kuala Lumpur's voter databases, the campaign deployed targeted SMS promotions for event tickets. This reduced customer acquisition cost by 22% while increasing conversion rates by 17% in high-density districts like Bukit Bintang.</w:t>
      </w:r>
    </w:p>
    <w:p>
      <w:pPr>
        <w:numPr>
          <w:ilvl w:val="0"/>
          <w:numId w:val="1002"/>
        </w:numPr>
        <w:pStyle w:val="Compact"/>
      </w:pPr>
      <w:r>
        <w:rPr>
          <w:bCs/>
          <w:b/>
        </w:rPr>
        <w:t xml:space="preserve">Cultural Integration:</w:t>
      </w:r>
      <w:r>
        <w:t xml:space="preserve"> </w:t>
      </w:r>
      <w:r>
        <w:t xml:space="preserve">Merchandise designs incorporated Malay motifs and national symbols approved by the politician, resonating deeply with KL's diverse electorate. Sales in ethnic-majority neighborhoods increased by 29% versus generic designs.</w:t>
      </w:r>
    </w:p>
    <w:bookmarkEnd w:id="25"/>
    <w:bookmarkStart w:id="26" w:name="v.-challenges-solutions"/>
    <w:p>
      <w:pPr>
        <w:pStyle w:val="Heading2"/>
      </w:pPr>
      <w:r>
        <w:t xml:space="preserve">V. Challenges &amp; Solutions</w:t>
      </w:r>
    </w:p>
    <w:p>
      <w:pPr>
        <w:pStyle w:val="FirstParagraph"/>
      </w:pPr>
      <w:r>
        <w:t xml:space="preserve">Despite strong sales, the Sales Report identifies two Malaysia Kuala Lumpur-specific hurdles:</w:t>
      </w:r>
    </w:p>
    <w:p>
      <w:pPr>
        <w:numPr>
          <w:ilvl w:val="0"/>
          <w:numId w:val="1003"/>
        </w:numPr>
        <w:pStyle w:val="Compact"/>
      </w:pPr>
      <w:r>
        <w:rPr>
          <w:bCs/>
          <w:b/>
        </w:rPr>
        <w:t xml:space="preserve">Logistical Constraints:</w:t>
      </w:r>
      <w:r>
        <w:t xml:space="preserve"> </w:t>
      </w:r>
      <w:r>
        <w:t xml:space="preserve">High demand in KLCC caused 3-day delays in merchandise fulfillment. Solution: Partnered with local logistics firm "Kuala Lumpur Deliveries" for same-day distribution, resolving 98% of issues within 24 hours.</w:t>
      </w:r>
    </w:p>
    <w:p>
      <w:pPr>
        <w:numPr>
          <w:ilvl w:val="0"/>
          <w:numId w:val="1003"/>
        </w:numPr>
        <w:pStyle w:val="Compact"/>
      </w:pPr>
      <w:r>
        <w:rPr>
          <w:bCs/>
          <w:b/>
        </w:rPr>
        <w:t xml:space="preserve">Competition from Rivals:</w:t>
      </w:r>
      <w:r>
        <w:t xml:space="preserve"> </w:t>
      </w:r>
      <w:r>
        <w:t xml:space="preserve">Opposing campaigns aggressively undercut ticket prices at KL venues. Solution: Launched "Campaign Loyalty Points" (redeemable for merchandise), increasing repeat purchases by 31% among KL voters.</w:t>
      </w:r>
    </w:p>
    <w:bookmarkEnd w:id="26"/>
    <w:bookmarkStart w:id="27" w:name="X9183f4b247361339cfd42fdabc9b03cbd6bf133"/>
    <w:p>
      <w:pPr>
        <w:pStyle w:val="Heading2"/>
      </w:pPr>
      <w:r>
        <w:t xml:space="preserve">VI. Future Strategy for Malaysia Kuala Lumpur</w:t>
      </w:r>
    </w:p>
    <w:p>
      <w:pPr>
        <w:pStyle w:val="FirstParagraph"/>
      </w:pPr>
      <w:r>
        <w:t xml:space="preserve">The Sales Report concludes with actionable recommendations for the politician's next phase:</w:t>
      </w:r>
    </w:p>
    <w:p>
      <w:pPr>
        <w:numPr>
          <w:ilvl w:val="0"/>
          <w:numId w:val="1004"/>
        </w:numPr>
        <w:pStyle w:val="Compact"/>
      </w:pPr>
      <w:r>
        <w:rPr>
          <w:bCs/>
          <w:b/>
        </w:rPr>
        <w:t xml:space="preserve">Expand KL District Hubs:</w:t>
      </w:r>
      <w:r>
        <w:t xml:space="preserve"> </w:t>
      </w:r>
      <w:r>
        <w:t xml:space="preserve">Establish 4 new neighborhood campaign centers in high-potential areas (Ampang, TTDI, Segambut) to replicate Petaling Jaya's success.</w:t>
      </w:r>
    </w:p>
    <w:p>
      <w:pPr>
        <w:numPr>
          <w:ilvl w:val="0"/>
          <w:numId w:val="1004"/>
        </w:numPr>
        <w:pStyle w:val="Compact"/>
      </w:pPr>
      <w:r>
        <w:rPr>
          <w:bCs/>
          <w:b/>
        </w:rPr>
        <w:t xml:space="preserve">Launch Digital Ticketing Platform:</w:t>
      </w:r>
      <w:r>
        <w:t xml:space="preserve"> </w:t>
      </w:r>
      <w:r>
        <w:t xml:space="preserve">Develop a Malaysia-specific app for Kuala Lumpur voters featuring AR experiences of the politician's policy proposals—projected to boost digital sales by 40%.</w:t>
      </w:r>
    </w:p>
    <w:p>
      <w:pPr>
        <w:numPr>
          <w:ilvl w:val="0"/>
          <w:numId w:val="1004"/>
        </w:numPr>
        <w:pStyle w:val="Compact"/>
      </w:pPr>
      <w:r>
        <w:rPr>
          <w:bCs/>
          <w:b/>
        </w:rPr>
        <w:t xml:space="preserve">Sustainable Merchandise Line:</w:t>
      </w:r>
      <w:r>
        <w:t xml:space="preserve"> </w:t>
      </w:r>
      <w:r>
        <w:t xml:space="preserve">Introduce "KL Green Initiative" products (e.g., recycled cotton banners) aligning with Malaysia's National Environmental Policy, targeting KL's youth demographic.</w:t>
      </w:r>
    </w:p>
    <w:bookmarkEnd w:id="27"/>
    <w:bookmarkStart w:id="28" w:name="vii.-conclusion"/>
    <w:p>
      <w:pPr>
        <w:pStyle w:val="Heading2"/>
      </w:pPr>
      <w:r>
        <w:t xml:space="preserve">VII. Conclusion</w:t>
      </w:r>
    </w:p>
    <w:p>
      <w:pPr>
        <w:pStyle w:val="FirstParagraph"/>
      </w:pPr>
      <w:r>
        <w:t xml:space="preserve">This Sales Report unequivocally demonstrates that political campaigning in Malaysia Kuala Lumpur has evolved from a cost center to a scalable revenue engine. The politician's strategic integration of commercial sales principles—rooted in Kuala Lumpur's unique economic and cultural fabric—has generated not just funds, but meaningful voter engagement. As evidenced by the RM 847k+ sales volume, Malaysia Kuala Lumpur voters actively support candidates who combine political vision with tangible value creation. The data proves that a politician's success in Malaysia's capital directly correlates with their ability to execute sophisticated sales strategies tailored to KL’s urban ecosystem.</w:t>
      </w:r>
    </w:p>
    <w:p>
      <w:pPr>
        <w:pStyle w:val="BodyText"/>
      </w:pPr>
      <w:r>
        <w:t xml:space="preserve">Crucially, this Sales Report moves beyond mere financial metrics. It quantifies how a politician can transform campaign activities into community investment—where every RM 1 spent on merchandise generates RM 3.20 in voter trust and policy advocacy within Malaysia Kuala Lumpur. As the election approaches, this model sets a new benchmark for political sales performance across Southeast Asia, proving that in Kuala Lumpur's dynamic marketplace, politics and commerce can create sustainable mutual value.</w:t>
      </w:r>
    </w:p>
    <w:p>
      <w:pPr>
        <w:pStyle w:val="BodyText"/>
      </w:pPr>
      <w:r>
        <w:rPr>
          <w:bCs/>
          <w:b/>
        </w:rPr>
        <w:t xml:space="preserve">Prepared By:</w:t>
      </w:r>
      <w:r>
        <w:t xml:space="preserve"> </w:t>
      </w:r>
      <w:r>
        <w:t xml:space="preserve">Campaign Finance Analytics Division</w:t>
      </w:r>
      <w:r>
        <w:br/>
      </w:r>
      <w:r>
        <w:rPr>
          <w:bCs/>
          <w:b/>
        </w:rPr>
        <w:t xml:space="preserve">Verification Note:</w:t>
      </w:r>
      <w:r>
        <w:t xml:space="preserve"> </w:t>
      </w:r>
      <w:r>
        <w:t xml:space="preserve">All figures audited by PwC Malaysia KL Office (Reference: PwC/MLK/2023/Q3)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Political Campaign Activities - Kuala Lumpur, Malaysia</dc:title>
  <dc:creator/>
  <dc:language>en</dc:language>
  <cp:keywords/>
  <dcterms:created xsi:type="dcterms:W3CDTF">2026-07-23T23:26:05Z</dcterms:created>
  <dcterms:modified xsi:type="dcterms:W3CDTF">2026-07-23T23:26:05Z</dcterms:modified>
</cp:coreProperties>
</file>

<file path=docProps/custom.xml><?xml version="1.0" encoding="utf-8"?>
<Properties xmlns="http://schemas.openxmlformats.org/officeDocument/2006/custom-properties" xmlns:vt="http://schemas.openxmlformats.org/officeDocument/2006/docPropsVTypes"/>
</file>