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in</w:t>
      </w:r>
      <w:r>
        <w:t xml:space="preserve"> </w:t>
      </w:r>
      <w:r>
        <w:t xml:space="preserve">Mexico</w:t>
      </w:r>
      <w:r>
        <w:t xml:space="preserve"> </w:t>
      </w:r>
      <w:r>
        <w:t xml:space="preserve">Mexico</w:t>
      </w:r>
      <w:r>
        <w:t xml:space="preserve"> </w:t>
      </w:r>
      <w:r>
        <w:t xml:space="preserve">City</w:t>
      </w:r>
    </w:p>
    <w:bookmarkStart w:id="30" w:name="Xfcc25bd3e9b891b3002a09b749220edfe45cc23"/>
    <w:p>
      <w:pPr>
        <w:pStyle w:val="Heading1"/>
      </w:pPr>
      <w:r>
        <w:t xml:space="preserve">OFFICIAL SALES REPORT</w:t>
      </w:r>
      <w:r>
        <w:br/>
      </w:r>
      <w:r>
        <w:t xml:space="preserve">FOR POLITICAL CANDIDATE IN MEXICO MEXICO CITY</w:t>
      </w:r>
    </w:p>
    <w:p>
      <w:pPr>
        <w:pStyle w:val="FirstParagraph"/>
      </w:pPr>
      <w:r>
        <w:t xml:space="preserve">Date: October 26, 2023</w:t>
      </w:r>
      <w:r>
        <w:br/>
      </w:r>
      <w:r>
        <w:t xml:space="preserve">Prepared For: Mexico City Electoral Commission</w:t>
      </w:r>
    </w:p>
    <w:bookmarkStart w:id="20" w:name="executive-summary"/>
    <w:p>
      <w:pPr>
        <w:pStyle w:val="Heading2"/>
      </w:pPr>
      <w:r>
        <w:t xml:space="preserve">Executive Summary</w:t>
      </w:r>
    </w:p>
    <w:p>
      <w:pPr>
        <w:pStyle w:val="FirstParagraph"/>
      </w:pPr>
      <w:r>
        <w:t xml:space="preserve">This comprehensive Sales Report details the political campaign performance of our esteemed candidate, Senator Elena Márquez, during the critical final quarter leading up to the Mexico City electoral cycle. As a seasoned Politician with 15 years of public service experience in Mexico City government, her campaign has achieved unprecedented voter engagement metrics. This report quantifies support acquisition across all key constituencies within Mexico Mexico City—demonstrating how our candidate's policy platform has become the most compelling political offering in the metropolis' history.</w:t>
      </w:r>
    </w:p>
    <w:bookmarkEnd w:id="20"/>
    <w:bookmarkStart w:id="21" w:name="campaign-sales-performance-overview"/>
    <w:p>
      <w:pPr>
        <w:pStyle w:val="Heading2"/>
      </w:pPr>
      <w:r>
        <w:t xml:space="preserve">Campaign Sales Performance Overview</w:t>
      </w:r>
    </w:p>
    <w:p>
      <w:pPr>
        <w:pStyle w:val="FirstParagraph"/>
      </w:pPr>
      <w:r>
        <w:t xml:space="preserve">Our Sales Report measures success not through traditional transactions but through strategic voter conversion metrics within Mexico Mexico City. The Politician's campaign has achieved a 47% increase in verified supporter acquisition compared to the previous electoral cycle, with particular strength in marginalized boroughs (Iztapalapa, Tláhuac, and Iztacalco). This represents over 280,000 new registered supporters since July 2023—a record for any candidate in Mexico City's history. The sales funnel analysis reveals exceptional conversion rates at every engagement stage:</w:t>
      </w:r>
    </w:p>
    <w:p>
      <w:pPr>
        <w:numPr>
          <w:ilvl w:val="0"/>
          <w:numId w:val="1001"/>
        </w:numPr>
        <w:pStyle w:val="Compact"/>
      </w:pPr>
      <w:r>
        <w:rPr>
          <w:bCs/>
          <w:b/>
        </w:rPr>
        <w:t xml:space="preserve">Initial Interest (Social Media):</w:t>
      </w:r>
      <w:r>
        <w:t xml:space="preserve"> </w:t>
      </w:r>
      <w:r>
        <w:t xml:space="preserve">68% conversion rate from website visits to event attendance</w:t>
      </w:r>
    </w:p>
    <w:p>
      <w:pPr>
        <w:numPr>
          <w:ilvl w:val="0"/>
          <w:numId w:val="1001"/>
        </w:numPr>
        <w:pStyle w:val="Compact"/>
      </w:pPr>
      <w:r>
        <w:rPr>
          <w:bCs/>
          <w:b/>
        </w:rPr>
        <w:t xml:space="preserve">Policy Engagement:</w:t>
      </w:r>
      <w:r>
        <w:t xml:space="preserve"> </w:t>
      </w:r>
      <w:r>
        <w:t xml:space="preserve">54% of attendees at policy workshops became active campaign supporters</w:t>
      </w:r>
    </w:p>
    <w:p>
      <w:pPr>
        <w:numPr>
          <w:ilvl w:val="0"/>
          <w:numId w:val="1001"/>
        </w:numPr>
        <w:pStyle w:val="Compact"/>
      </w:pPr>
      <w:r>
        <w:rPr>
          <w:bCs/>
          <w:b/>
        </w:rPr>
        <w:t xml:space="preserve">Donor Conversion:</w:t>
      </w:r>
      <w:r>
        <w:t xml:space="preserve"> </w:t>
      </w:r>
      <w:r>
        <w:t xml:space="preserve">32% of community meetings resulted in financial commitments (exceeding target by 21%)</w:t>
      </w:r>
    </w:p>
    <w:bookmarkEnd w:id="21"/>
    <w:bookmarkStart w:id="25" w:name="mexico-mexico-city-market-analysis"/>
    <w:p>
      <w:pPr>
        <w:pStyle w:val="Heading2"/>
      </w:pPr>
      <w:r>
        <w:t xml:space="preserve">Mexico Mexico City Market Analysis</w:t>
      </w:r>
    </w:p>
    <w:p>
      <w:pPr>
        <w:pStyle w:val="FirstParagraph"/>
      </w:pPr>
      <w:r>
        <w:t xml:space="preserve">The campaign strategy specifically targeted Mexico Mexico City's unique political ecosystem, where voter priorities differ dramatically from other Mexican states. Our Sales Report identifies three critical market segments driving success:</w:t>
      </w:r>
    </w:p>
    <w:bookmarkStart w:id="22" w:name="youth-voter-acquisition-18-29-years"/>
    <w:p>
      <w:pPr>
        <w:pStyle w:val="Heading3"/>
      </w:pPr>
      <w:r>
        <w:t xml:space="preserve">1. Youth Voter Acquisition (18-29 Years)</w:t>
      </w:r>
    </w:p>
    <w:p>
      <w:pPr>
        <w:pStyle w:val="FirstParagraph"/>
      </w:pPr>
      <w:r>
        <w:t xml:space="preserve">Through culturally resonant digital campaigns, the Politician's team secured 42% of youth voters—exceeding our 30% target. The "Future Mx" initiative (combining education policy and job creation) generated a 67% social media share rate in Mexico City neighborhoods. This segment now represents the fastest-growing support base, with WhatsApp community groups generating 12,000+ daily interactions.</w:t>
      </w:r>
    </w:p>
    <w:bookmarkEnd w:id="22"/>
    <w:bookmarkStart w:id="23" w:name="small-business-support"/>
    <w:p>
      <w:pPr>
        <w:pStyle w:val="Heading3"/>
      </w:pPr>
      <w:r>
        <w:t xml:space="preserve">2. Small Business Support</w:t>
      </w:r>
    </w:p>
    <w:p>
      <w:pPr>
        <w:pStyle w:val="FirstParagraph"/>
      </w:pPr>
      <w:r>
        <w:t xml:space="preserve">Addressing Mexico Mexico City's vibrant microenterprise economy, the Politician's "Shop Local" policy package drove a 59% increase in business owner support. The campaign's sales model focused on direct engagement at local markets (e.g., Merced, La Lagunilla), converting 78% of interactions into campaign ambassadors. This translated to over 14,000 small business sign-ups for policy feedback sessions—proving the Politician's economic vision resonates with Mexico City's commercial backbone.</w:t>
      </w:r>
    </w:p>
    <w:bookmarkEnd w:id="23"/>
    <w:bookmarkStart w:id="24" w:name="senior-citizen-engagement"/>
    <w:p>
      <w:pPr>
        <w:pStyle w:val="Heading3"/>
      </w:pPr>
      <w:r>
        <w:t xml:space="preserve">3. Senior Citizen Engagement</w:t>
      </w:r>
    </w:p>
    <w:p>
      <w:pPr>
        <w:pStyle w:val="FirstParagraph"/>
      </w:pPr>
      <w:r>
        <w:t xml:space="preserve">Recognizing Mexico City's aging population, the campaign implemented a "Senior Support Network" that achieved 71% engagement in senior centers across the metropolis. The Politician's healthcare and pension policies became the top sales driver among this demographic, with 83% of attendees expressing support for her candidacy—significantly higher than competitor platforms.</w:t>
      </w:r>
    </w:p>
    <w:bookmarkEnd w:id="24"/>
    <w:bookmarkEnd w:id="25"/>
    <w:bookmarkStart w:id="26" w:name="policy-sales-conversion-metrics"/>
    <w:p>
      <w:pPr>
        <w:pStyle w:val="Heading2"/>
      </w:pPr>
      <w:r>
        <w:t xml:space="preserve">Policy Sales Conversion Metrics</w:t>
      </w:r>
    </w:p>
    <w:p>
      <w:pPr>
        <w:pStyle w:val="FirstParagraph"/>
      </w:pPr>
      <w:r>
        <w:t xml:space="preserve">Our Sales Report tracks how policy propositions translate to voter support. The Politician's key initiatives have demonstrated remarkable conversion power within Mexico Mexico City: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Policy Initiative</w:t>
            </w:r>
          </w:p>
        </w:tc>
        <w:tc>
          <w:tcPr/>
          <w:p>
            <w:pPr>
              <w:pStyle w:val="Compact"/>
              <w:jc w:val="left"/>
            </w:pPr>
            <w:r>
              <w:t xml:space="preserve">Voter Conversion Rate</w:t>
            </w:r>
          </w:p>
        </w:tc>
        <w:tc>
          <w:tcPr/>
          <w:p>
            <w:pPr>
              <w:pStyle w:val="Compact"/>
              <w:jc w:val="left"/>
            </w:pPr>
            <w:r>
              <w:t xml:space="preserve">Key Mexico City Impact Area</w:t>
            </w:r>
          </w:p>
        </w:tc>
      </w:tr>
      <w:tr>
        <w:tc>
          <w:tcPr/>
          <w:p>
            <w:pPr>
              <w:pStyle w:val="Compact"/>
              <w:jc w:val="left"/>
            </w:pPr>
            <w:r>
              <w:rPr>
                <w:bCs/>
                <w:b/>
              </w:rPr>
              <w:t xml:space="preserve">Zero Emission Public Transit</w:t>
            </w:r>
          </w:p>
        </w:tc>
        <w:tc>
          <w:tcPr/>
          <w:p>
            <w:pPr>
              <w:pStyle w:val="Compact"/>
              <w:jc w:val="left"/>
            </w:pPr>
            <w:r>
              <w:t xml:space="preserve">63%</w:t>
            </w:r>
          </w:p>
        </w:tc>
        <w:tc>
          <w:tcPr/>
          <w:p>
            <w:pPr>
              <w:pStyle w:val="Compact"/>
              <w:jc w:val="left"/>
            </w:pPr>
            <w:r>
              <w:t xml:space="preserve">Población, Azcapotzalco (bus routes)</w:t>
            </w:r>
          </w:p>
        </w:tc>
      </w:tr>
      <w:tr>
        <w:tc>
          <w:tcPr/>
          <w:p>
            <w:pPr>
              <w:pStyle w:val="Compact"/>
              <w:jc w:val="left"/>
            </w:pPr>
            <w:r>
              <w:rPr>
                <w:bCs/>
                <w:b/>
              </w:rPr>
              <w:t xml:space="preserve">School Nutrition Program Expansion</w:t>
            </w:r>
          </w:p>
        </w:tc>
        <w:tc>
          <w:tcPr/>
          <w:p>
            <w:pPr>
              <w:pStyle w:val="Compact"/>
              <w:jc w:val="left"/>
            </w:pPr>
            <w:r>
              <w:t xml:space="preserve">58%</w:t>
            </w:r>
          </w:p>
        </w:tc>
        <w:tc>
          <w:tcPr/>
          <w:p>
            <w:pPr>
              <w:pStyle w:val="Compact"/>
              <w:jc w:val="left"/>
            </w:pPr>
            <w:r>
              <w:t xml:space="preserve">Iztapalapa, Tlalpan (230 schools)</w:t>
            </w:r>
          </w:p>
        </w:tc>
      </w:tr>
      <w:tr>
        <w:tc>
          <w:tcPr/>
          <w:p>
            <w:pPr>
              <w:pStyle w:val="Compact"/>
              <w:jc w:val="left"/>
            </w:pPr>
            <w:r>
              <w:rPr>
                <w:bCs/>
                <w:b/>
              </w:rPr>
              <w:t xml:space="preserve">Municipal Business Tax Reform</w:t>
            </w:r>
          </w:p>
        </w:tc>
        <w:tc>
          <w:tcPr/>
          <w:p>
            <w:pPr>
              <w:pStyle w:val="Compact"/>
              <w:jc w:val="left"/>
            </w:pPr>
            <w:r>
              <w:t xml:space="preserve">67%</w:t>
            </w:r>
          </w:p>
        </w:tc>
        <w:tc>
          <w:tcPr/>
          <w:p>
            <w:pPr>
              <w:pStyle w:val="Compact"/>
              <w:jc w:val="left"/>
            </w:pPr>
            <w:r>
              <w:t xml:space="preserve">Coyoacán, Benito Juárez (14,500 vendors)</w:t>
            </w:r>
          </w:p>
        </w:tc>
      </w:tr>
    </w:tbl>
    <w:bookmarkEnd w:id="26"/>
    <w:bookmarkStart w:id="27" w:name="X8ecaa9e58256211014fb9cf7b573833e19409b1"/>
    <w:p>
      <w:pPr>
        <w:pStyle w:val="Heading2"/>
      </w:pPr>
      <w:r>
        <w:t xml:space="preserve">Geographic Sales Performance in Mexico Mexico City</w:t>
      </w:r>
    </w:p>
    <w:p>
      <w:pPr>
        <w:pStyle w:val="FirstParagraph"/>
      </w:pPr>
      <w:r>
        <w:t xml:space="preserve">Mexico Mexico City's complex urban landscape required hyper-localized strategy. Our sales analytics reveal:</w:t>
      </w:r>
    </w:p>
    <w:p>
      <w:pPr>
        <w:numPr>
          <w:ilvl w:val="0"/>
          <w:numId w:val="1002"/>
        </w:numPr>
        <w:pStyle w:val="Compact"/>
      </w:pPr>
      <w:r>
        <w:rPr>
          <w:bCs/>
          <w:b/>
        </w:rPr>
        <w:t xml:space="preserve">Central Districts (Cuauhtémoc, Álvaro Obregón):</w:t>
      </w:r>
      <w:r>
        <w:t xml:space="preserve"> </w:t>
      </w:r>
      <w:r>
        <w:t xml:space="preserve">42% support growth through corporate partnership events with Mexico City business associations</w:t>
      </w:r>
    </w:p>
    <w:p>
      <w:pPr>
        <w:numPr>
          <w:ilvl w:val="0"/>
          <w:numId w:val="1002"/>
        </w:numPr>
        <w:pStyle w:val="Compact"/>
      </w:pPr>
      <w:r>
        <w:rPr>
          <w:bCs/>
          <w:b/>
        </w:rPr>
        <w:t xml:space="preserve">Southern Boroughs (Tláhuac, Milpa Alta):</w:t>
      </w:r>
      <w:r>
        <w:t xml:space="preserve"> </w:t>
      </w:r>
      <w:r>
        <w:t xml:space="preserve">57% voter increase via community workshops in indigenous neighborhoods—addressing housing and water access policies directly</w:t>
      </w:r>
    </w:p>
    <w:p>
      <w:pPr>
        <w:numPr>
          <w:ilvl w:val="0"/>
          <w:numId w:val="1002"/>
        </w:numPr>
        <w:pStyle w:val="Compact"/>
      </w:pPr>
      <w:r>
        <w:rPr>
          <w:bCs/>
          <w:b/>
        </w:rPr>
        <w:t xml:space="preserve">Northern Districts (Naucalpan, Atizapán):</w:t>
      </w:r>
      <w:r>
        <w:t xml:space="preserve"> </w:t>
      </w:r>
      <w:r>
        <w:t xml:space="preserve">39% growth driven by traffic reduction initiatives targeting Mexico City's most congested corridors</w:t>
      </w:r>
    </w:p>
    <w:bookmarkEnd w:id="27"/>
    <w:bookmarkStart w:id="28" w:name="Xf8151359fd39bbea0c70cf037c9f5f005ec7afa"/>
    <w:p>
      <w:pPr>
        <w:pStyle w:val="Heading2"/>
      </w:pPr>
      <w:r>
        <w:t xml:space="preserve">The Politician's Sales Differentiation Strategy</w:t>
      </w:r>
    </w:p>
    <w:p>
      <w:pPr>
        <w:pStyle w:val="FirstParagraph"/>
      </w:pPr>
      <w:r>
        <w:t xml:space="preserve">What sets this campaign apart is the Politician's commitment to transparent sales metrics. Unlike traditional campaigns that rely on abstract "support," our Sales Report uses verifiable engagement data:</w:t>
      </w:r>
    </w:p>
    <w:p>
      <w:pPr>
        <w:numPr>
          <w:ilvl w:val="0"/>
          <w:numId w:val="1003"/>
        </w:numPr>
        <w:pStyle w:val="Compact"/>
      </w:pPr>
      <w:r>
        <w:rPr>
          <w:bCs/>
          <w:b/>
        </w:rPr>
        <w:t xml:space="preserve">Real-Time Voter Tracking:</w:t>
      </w:r>
      <w:r>
        <w:t xml:space="preserve"> </w:t>
      </w:r>
      <w:r>
        <w:t xml:space="preserve">97% of Mexico City precincts now have digital engagement scores</w:t>
      </w:r>
    </w:p>
    <w:p>
      <w:pPr>
        <w:numPr>
          <w:ilvl w:val="0"/>
          <w:numId w:val="1003"/>
        </w:numPr>
        <w:pStyle w:val="Compact"/>
      </w:pPr>
      <w:r>
        <w:rPr>
          <w:bCs/>
          <w:b/>
        </w:rPr>
        <w:t xml:space="preserve">Policy-Driven Engagement:</w:t>
      </w:r>
      <w:r>
        <w:t xml:space="preserve"> </w:t>
      </w:r>
      <w:r>
        <w:t xml:space="preserve">Every campaign event ties to specific legislation (e.g., "Road Safety Forum" directly tied to traffic policy)</w:t>
      </w:r>
    </w:p>
    <w:p>
      <w:pPr>
        <w:numPr>
          <w:ilvl w:val="0"/>
          <w:numId w:val="1003"/>
        </w:numPr>
        <w:pStyle w:val="Compact"/>
      </w:pPr>
      <w:r>
        <w:rPr>
          <w:bCs/>
          <w:b/>
        </w:rPr>
        <w:t xml:space="preserve">Community Co-Creation:</w:t>
      </w:r>
      <w:r>
        <w:t xml:space="preserve"> </w:t>
      </w:r>
      <w:r>
        <w:t xml:space="preserve">230+ neighborhood councils shaped the Politician's final platform—turning voters into co-sellers of her vision</w:t>
      </w:r>
    </w:p>
    <w:bookmarkEnd w:id="28"/>
    <w:bookmarkStart w:id="29" w:name="conclusion-forward-sales-projection"/>
    <w:p>
      <w:pPr>
        <w:pStyle w:val="Heading2"/>
      </w:pPr>
      <w:r>
        <w:t xml:space="preserve">Conclusion &amp; Forward Sales Projection</w:t>
      </w:r>
    </w:p>
    <w:p>
      <w:pPr>
        <w:pStyle w:val="FirstParagraph"/>
      </w:pPr>
      <w:r>
        <w:t xml:space="preserve">This Sales Report confirms Senator Elena Márquez has built the most effective political sales engine in Mexico City's modern history. Her ability to translate policy into voter acquisition—particularly within Mexico Mexico City's complex urban fabric—represents a paradigm shift in political campaigning. The data shows consistent growth across all demographics, with projections indicating 58% support by election day (up from 39% at campaign launch).</w:t>
      </w:r>
    </w:p>
    <w:p>
      <w:pPr>
        <w:pStyle w:val="BodyText"/>
      </w:pPr>
      <w:r>
        <w:t xml:space="preserve">As the premier Politician representing Mexico City's future, her sales model proves that when policy aligns with community needs, political support becomes a measurable economic outcome. The Mexico Mexico City electorate has voted not just for a candidate, but for a tangible transformation in how government engages with citizens. This Sales Report doesn't just track votes—it charts the future of governance in one of the world's most dynamic cities.</w:t>
      </w:r>
    </w:p>
    <w:p>
      <w:pPr>
        <w:pStyle w:val="BodyText"/>
      </w:pPr>
      <w:r>
        <w:t xml:space="preserve">"This campaign isn't selling promises—it's building a sales pipeline for Mexico City's prosperity." — Senator Elena Márquez</w:t>
      </w:r>
    </w:p>
    <w:p>
      <w:pPr>
        <w:pStyle w:val="BodyText"/>
      </w:pPr>
      <w:r>
        <w:t xml:space="preserve">Report generated using verified Mexico City Electoral Commission data. All metrics represent actual voter engagement in Mexico Mexico City as of October 25, 2023.</w:t>
      </w:r>
    </w:p>
    <w:p>
      <w:pPr>
        <w:pStyle w:val="BodyText"/>
      </w:pPr>
      <w:r>
        <w:t xml:space="preserve">This document constitutes part of the official campaign sales performance analysis for Senator Elena Márquez's candidacy for Head of Government of Mexico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Political Campaign in Mexico Mexico City</dc:title>
  <dc:creator/>
  <dc:language>en</dc:language>
  <cp:keywords/>
  <dcterms:created xsi:type="dcterms:W3CDTF">2026-07-23T23:26:06Z</dcterms:created>
  <dcterms:modified xsi:type="dcterms:W3CDTF">2026-07-23T23:26:06Z</dcterms:modified>
</cp:coreProperties>
</file>

<file path=docProps/custom.xml><?xml version="1.0" encoding="utf-8"?>
<Properties xmlns="http://schemas.openxmlformats.org/officeDocument/2006/custom-properties" xmlns:vt="http://schemas.openxmlformats.org/officeDocument/2006/docPropsVTypes"/>
</file>