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Report:</w:t>
      </w:r>
      <w:r>
        <w:t xml:space="preserve"> </w:t>
      </w:r>
      <w:r>
        <w:t xml:space="preserve">Yangon,</w:t>
      </w:r>
      <w:r>
        <w:t xml:space="preserve"> </w:t>
      </w:r>
      <w:r>
        <w:t xml:space="preserve">Myanmar</w:t>
      </w:r>
    </w:p>
    <w:bookmarkStart w:id="21" w:name="annual-political-sales-report"/>
    <w:p>
      <w:pPr>
        <w:pStyle w:val="Heading1"/>
      </w:pPr>
      <w:r>
        <w:t xml:space="preserve">ANNUAL POLITICAL SALES REPORT</w:t>
      </w:r>
    </w:p>
    <w:bookmarkStart w:id="20" w:name="X3bd53201e2e0ee0e12aa4631124b278fea8a9c4"/>
    <w:p>
      <w:pPr>
        <w:pStyle w:val="Heading2"/>
      </w:pPr>
      <w:r>
        <w:t xml:space="preserve">Strategic Outreach &amp; Engagement Performance in Yangon, Myanmar (Q3 2023 - Q2 2024)</w:t>
      </w:r>
    </w:p>
    <w:bookmarkEnd w:id="20"/>
    <w:bookmarkEnd w:id="21"/>
    <w:p>
      <w:pPr>
        <w:pStyle w:val="FirstParagraph"/>
      </w:pPr>
      <w:r>
        <w:t xml:space="preserve">SALES REPORT | POLITICIAN | MYANMAR YANGON</w:t>
      </w:r>
    </w:p>
    <w:bookmarkStart w:id="22" w:name="executive-summary"/>
    <w:p>
      <w:pPr>
        <w:pStyle w:val="Heading2"/>
      </w:pPr>
      <w:r>
        <w:t xml:space="preserve">Executive Summary</w:t>
      </w:r>
    </w:p>
    <w:p>
      <w:pPr>
        <w:pStyle w:val="FirstParagraph"/>
      </w:pPr>
      <w:r>
        <w:t xml:space="preserve">This comprehensive Sales Report documents the strategic outreach initiatives executed for our key political engagement in Yangon, Myanmar during the fiscal period Q3 2023 through Q2 2024. As a premier political consultancy firm operating across Southeast Asia, we've delivered an unprecedented level of voter acquisition and policy advocacy services specifically tailored to the complex socio-political landscape of Myanmar's largest city. The report details how our sales strategies have transformed campaign dynamics for the featured Politician in Yangon, generating measurable outcomes across 12 townships and engaging over 450,000 constituents through hyper-localized approaches.</w:t>
      </w:r>
    </w:p>
    <w:bookmarkEnd w:id="22"/>
    <w:bookmarkStart w:id="23" w:name="X7310ff4f04078747e34f18582e2929e7e9d0c52"/>
    <w:p>
      <w:pPr>
        <w:pStyle w:val="Heading2"/>
      </w:pPr>
      <w:r>
        <w:t xml:space="preserve">Market Context: Yangon's Political Landscape</w:t>
      </w:r>
    </w:p>
    <w:p>
      <w:pPr>
        <w:pStyle w:val="FirstParagraph"/>
      </w:pPr>
      <w:r>
        <w:t xml:space="preserve">Yangon remains Myanmar's economic nerve center with a population exceeding 8 million, representing approximately 15% of the nation's total voters. The political environment here is uniquely volatile, characterized by rapid policy shifts and intense community engagement needs. Our Sales Report analysis confirms that Yangon's electors prioritize tangible infrastructure development (72%), healthcare access (63%), and small business support (58%) – directly informing our Politician's sales pitch development. Unlike national-level campaigns, Yangon requires micro-targeting: a successful politician must demonstrate immediate neighborhood impact within 48 hours of policy announcements to maintain voter trust.</w:t>
      </w:r>
    </w:p>
    <w:bookmarkEnd w:id="23"/>
    <w:bookmarkStart w:id="24" w:name="core-sales-strategy-implementation"/>
    <w:p>
      <w:pPr>
        <w:pStyle w:val="Heading2"/>
      </w:pPr>
      <w:r>
        <w:t xml:space="preserve">Core Sales Strategy Implementation</w:t>
      </w:r>
    </w:p>
    <w:p>
      <w:pPr>
        <w:pStyle w:val="FirstParagraph"/>
      </w:pPr>
      <w:r>
        <w:t xml:space="preserve">Our team deployed a three-pillar sales framework exclusively for the Politician operating in Myanmar Yangon:</w:t>
      </w:r>
    </w:p>
    <w:p>
      <w:pPr>
        <w:numPr>
          <w:ilvl w:val="0"/>
          <w:numId w:val="1001"/>
        </w:numPr>
        <w:pStyle w:val="Compact"/>
      </w:pPr>
      <w:r>
        <w:rPr>
          <w:bCs/>
          <w:b/>
        </w:rPr>
        <w:t xml:space="preserve">Grassroots Digital Outreach:</w:t>
      </w:r>
      <w:r>
        <w:t xml:space="preserve"> </w:t>
      </w:r>
      <w:r>
        <w:t xml:space="preserve">We developed a customized mobile application ("Myanmar Voter Connect") that achieved 38% penetration among Yangon's 18-35 demographic. This platform enabled real-time policy feedback, reducing campaign response time by 76% and directly contributing to a 41% increase in volunteer sign-ups.</w:t>
      </w:r>
    </w:p>
    <w:p>
      <w:pPr>
        <w:numPr>
          <w:ilvl w:val="0"/>
          <w:numId w:val="1001"/>
        </w:numPr>
        <w:pStyle w:val="Compact"/>
      </w:pPr>
      <w:r>
        <w:rPr>
          <w:bCs/>
          <w:b/>
        </w:rPr>
        <w:t xml:space="preserve">Community Partnership Sales:</w:t>
      </w:r>
      <w:r>
        <w:t xml:space="preserve"> </w:t>
      </w:r>
      <w:r>
        <w:t xml:space="preserve">We secured 28 local business alliances (from food markets to tech startups) across Yangon's key districts. Each partnership included co-branded "Small Business Relief" packages – creating a sales pipeline where 34% of participating businesses became policy advocates within their communities.</w:t>
      </w:r>
    </w:p>
    <w:p>
      <w:pPr>
        <w:numPr>
          <w:ilvl w:val="0"/>
          <w:numId w:val="1001"/>
        </w:numPr>
        <w:pStyle w:val="Compact"/>
      </w:pPr>
      <w:r>
        <w:rPr>
          <w:bCs/>
          <w:b/>
        </w:rPr>
        <w:t xml:space="preserve">Policy-to-Sales Translation:</w:t>
      </w:r>
      <w:r>
        <w:t xml:space="preserve"> </w:t>
      </w:r>
      <w:r>
        <w:t xml:space="preserve">Our team transformed legislative proposals into consumer-focused sales propositions. For instance, the 'Yangon Urban Renewal Initiative' was packaged as "Your Home, Your Investment" – a service package for 22,000 households that generated $1.8M in pre-commitment deposits during Q4 2023.</w:t>
      </w:r>
    </w:p>
    <w:bookmarkEnd w:id="24"/>
    <w:bookmarkStart w:id="25" w:name="quantifiable-sales-performance-metrics"/>
    <w:p>
      <w:pPr>
        <w:pStyle w:val="Heading2"/>
      </w:pPr>
      <w:r>
        <w:t xml:space="preserve">Quantifiable Sales Performance Metrics</w:t>
      </w:r>
    </w:p>
    <w:p>
      <w:pPr>
        <w:pStyle w:val="FirstParagraph"/>
      </w:pPr>
      <w:r>
        <w:t xml:space="preserve">The following metrics demonstrate the direct impact of our Sales Report-driven strategies on the Politician's electoral viability in Yangon:</w:t>
      </w:r>
    </w:p>
    <w:p>
      <w:pPr>
        <w:pStyle w:val="BodyText"/>
      </w:pPr>
      <w:r>
        <w:t xml:space="preserve">KPI</w:t>
      </w:r>
    </w:p>
    <w:p>
      <w:pPr>
        <w:pStyle w:val="BodyText"/>
      </w:pPr>
      <w:r>
        <w:t xml:space="preserve">Q3 2023</w:t>
      </w:r>
    </w:p>
    <w:p>
      <w:pPr>
        <w:pStyle w:val="BodyText"/>
      </w:pPr>
      <w:r>
        <w:t xml:space="preserve">Q2 2024</w:t>
      </w:r>
    </w:p>
    <w:p>
      <w:pPr>
        <w:pStyle w:val="BodyText"/>
      </w:pPr>
      <w:r>
        <w:t xml:space="preserve">Change (%)</w:t>
      </w:r>
    </w:p>
    <w:p>
      <w:pPr>
        <w:pStyle w:val="BodyText"/>
      </w:pPr>
      <w:r>
        <w:t xml:space="preserve">Voter Engagement Rate (Yangon)</w:t>
      </w:r>
    </w:p>
    <w:p>
      <w:pPr>
        <w:pStyle w:val="BodyText"/>
      </w:pPr>
      <w:r>
        <w:t xml:space="preserve">18.7%</w:t>
      </w:r>
    </w:p>
    <w:p>
      <w:pPr>
        <w:pStyle w:val="BodyText"/>
      </w:pPr>
      <w:r>
        <w:t xml:space="preserve">56.3%</w:t>
      </w:r>
    </w:p>
    <w:p>
      <w:pPr>
        <w:pStyle w:val="BodyText"/>
      </w:pPr>
      <w:r>
        <w:t xml:space="preserve">+203%</w:t>
      </w:r>
    </w:p>
    <w:p>
      <w:pPr>
        <w:pStyle w:val="BodyText"/>
      </w:pPr>
      <w:r>
        <w:t xml:space="preserve">Local Business Partnership Growth</w:t>
      </w:r>
    </w:p>
    <w:p>
      <w:pPr>
        <w:pStyle w:val="BodyText"/>
      </w:pPr>
      <w:r>
        <w:t xml:space="preserve">&lt;</w:t>
      </w:r>
    </w:p>
    <w:p>
      <w:pPr>
        <w:pStyle w:val="BodyText"/>
      </w:pPr>
      <w:r>
        <w:t xml:space="preserve">42</w:t>
      </w:r>
    </w:p>
    <w:p>
      <w:pPr>
        <w:pStyle w:val="BodyText"/>
      </w:pPr>
      <w:r>
        <w:t xml:space="preserve">158</w:t>
      </w:r>
    </w:p>
    <w:p>
      <w:pPr>
        <w:pStyle w:val="BodyText"/>
      </w:pPr>
      <w:r>
        <w:t xml:space="preserve">+276%</w:t>
      </w:r>
    </w:p>
    <w:p>
      <w:pPr>
        <w:pStyle w:val="BodyText"/>
      </w:pPr>
      <w:r>
        <w:t xml:space="preserve">Policy Support Rate Among Constituents (Yangon)</w:t>
      </w:r>
    </w:p>
    <w:p>
      <w:pPr>
        <w:pStyle w:val="BodyText"/>
      </w:pPr>
      <w:r>
        <w:t xml:space="preserve">Campaign Policy Package Sales</w:t>
      </w:r>
    </w:p>
    <w:p>
      <w:pPr>
        <w:pStyle w:val="BodyText"/>
      </w:pPr>
      <w:r>
        <w:t xml:space="preserve">2,100 units</w:t>
      </w:r>
    </w:p>
    <w:p>
      <w:pPr>
        <w:pStyle w:val="BodyText"/>
      </w:pPr>
      <w:r>
        <w:t xml:space="preserve">38,750 units</w:t>
      </w:r>
    </w:p>
    <w:p>
      <w:pPr>
        <w:pStyle w:val="BodyText"/>
      </w:pPr>
      <w:r>
        <w:t xml:space="preserve">+1745%</w:t>
      </w:r>
    </w:p>
    <w:bookmarkEnd w:id="25"/>
    <w:bookmarkStart w:id="26" w:name="yangon-specific-challenges-solutions"/>
    <w:p>
      <w:pPr>
        <w:pStyle w:val="Heading2"/>
      </w:pPr>
      <w:r>
        <w:t xml:space="preserve">Yangon-Specific Challenges &amp; Solutions</w:t>
      </w:r>
    </w:p>
    <w:p>
      <w:pPr>
        <w:pStyle w:val="FirstParagraph"/>
      </w:pPr>
      <w:r>
        <w:t xml:space="preserve">The Sales Report identifies unique obstacles in Myanmar Yangon that required specialized sales approaches:</w:t>
      </w:r>
    </w:p>
    <w:p>
      <w:pPr>
        <w:numPr>
          <w:ilvl w:val="0"/>
          <w:numId w:val="1002"/>
        </w:numPr>
        <w:pStyle w:val="Compact"/>
      </w:pPr>
      <w:r>
        <w:rPr>
          <w:bCs/>
          <w:b/>
        </w:rPr>
        <w:t xml:space="preserve">Infrastructure Limitations:</w:t>
      </w:r>
      <w:r>
        <w:t xml:space="preserve"> </w:t>
      </w:r>
      <w:r>
        <w:t xml:space="preserve">Poor internet connectivity in Hlaing Tharyar and Dagon Seikkan required offline sales protocols. We developed SMS-based voter registration (32,000 new sign-ups) as a low-tech solution that increased outreach by 198%.</w:t>
      </w:r>
    </w:p>
    <w:p>
      <w:pPr>
        <w:numPr>
          <w:ilvl w:val="0"/>
          <w:numId w:val="1002"/>
        </w:numPr>
        <w:pStyle w:val="Compact"/>
      </w:pPr>
      <w:r>
        <w:rPr>
          <w:bCs/>
          <w:b/>
        </w:rPr>
        <w:t xml:space="preserve">Cultural Nuances:</w:t>
      </w:r>
      <w:r>
        <w:t xml:space="preserve"> </w:t>
      </w:r>
      <w:r>
        <w:t xml:space="preserve">Traditional Burmese community structures necessitated relationship-based selling rather than transactional approaches. Our team trained local youth ambassadors in Yangon's cultural protocols, resulting in 92% of voter interactions occurring through trusted community figures.</w:t>
      </w:r>
    </w:p>
    <w:p>
      <w:pPr>
        <w:numPr>
          <w:ilvl w:val="0"/>
          <w:numId w:val="1002"/>
        </w:numPr>
        <w:pStyle w:val="Compact"/>
      </w:pPr>
      <w:r>
        <w:rPr>
          <w:bCs/>
          <w:b/>
        </w:rPr>
        <w:t xml:space="preserve">Regulatory Environment:</w:t>
      </w:r>
      <w:r>
        <w:t xml:space="preserve"> </w:t>
      </w:r>
      <w:r>
        <w:t xml:space="preserve">Myanmar's evolving political regulations required constant sales model adaptation. We maintained a dedicated legal compliance unit that ensured all Politician outreach remained within regulatory parameters, avoiding any campaign violations in Yangon.</w:t>
      </w:r>
    </w:p>
    <w:bookmarkEnd w:id="26"/>
    <w:bookmarkStart w:id="27" w:name="X32d90f55ad08572f82b440036b1613953ec47ca"/>
    <w:p>
      <w:pPr>
        <w:pStyle w:val="Heading2"/>
      </w:pPr>
      <w:r>
        <w:t xml:space="preserve">Case Study: The Inya Lake Community Initiative</w:t>
      </w:r>
    </w:p>
    <w:p>
      <w:pPr>
        <w:pStyle w:val="FirstParagraph"/>
      </w:pPr>
      <w:r>
        <w:t xml:space="preserve">Illustrating the Sales Report's impact, our team executed a targeted sales campaign in Yangon's Inya Lake district – a high-value residential area with 12,000 households. We identified that 68% of residents prioritized park maintenance over other services. The Politician's "Green Space Renewal" policy was packaged as an immediate neighborhood service (not just policy), featuring:</w:t>
      </w:r>
    </w:p>
    <w:p>
      <w:pPr>
        <w:numPr>
          <w:ilvl w:val="0"/>
          <w:numId w:val="1003"/>
        </w:numPr>
        <w:pStyle w:val="Compact"/>
      </w:pPr>
      <w:r>
        <w:t xml:space="preserve">Free community clean-up days with local NGOs</w:t>
      </w:r>
    </w:p>
    <w:p>
      <w:pPr>
        <w:numPr>
          <w:ilvl w:val="0"/>
          <w:numId w:val="1003"/>
        </w:numPr>
        <w:pStyle w:val="Compact"/>
      </w:pPr>
      <w:r>
        <w:t xml:space="preserve">Exclusive access to newly installed water features</w:t>
      </w:r>
    </w:p>
    <w:p>
      <w:pPr>
        <w:numPr>
          <w:ilvl w:val="0"/>
          <w:numId w:val="1003"/>
        </w:numPr>
        <w:pStyle w:val="Compact"/>
      </w:pPr>
      <w:r>
        <w:t xml:space="preserve">Loyalty points redeemable at 47 partnered Yangon businesses</w:t>
      </w:r>
    </w:p>
    <w:p>
      <w:pPr>
        <w:pStyle w:val="FirstParagraph"/>
      </w:pPr>
      <w:r>
        <w:t xml:space="preserve">This initiative generated 2,300 direct voter commitments within 14 days, with a referral rate of 37%. It exemplifies how our Sales Report methodology turns policy into tangible community sales opportunities.</w:t>
      </w:r>
    </w:p>
    <w:bookmarkEnd w:id="27"/>
    <w:bookmarkStart w:id="28" w:name="X81fdf3a8487656641cd7b6b88784745eb852df6"/>
    <w:p>
      <w:pPr>
        <w:pStyle w:val="Heading2"/>
      </w:pPr>
      <w:r>
        <w:t xml:space="preserve">Strategic Recommendations for Future Sales Cycles</w:t>
      </w:r>
    </w:p>
    <w:p>
      <w:pPr>
        <w:pStyle w:val="FirstParagraph"/>
      </w:pPr>
      <w:r>
        <w:t xml:space="preserve">Based on the successful execution of the Politician's campaign in Myanmar Yangon, we recommend:</w:t>
      </w:r>
    </w:p>
    <w:p>
      <w:pPr>
        <w:numPr>
          <w:ilvl w:val="0"/>
          <w:numId w:val="1004"/>
        </w:numPr>
        <w:pStyle w:val="Compact"/>
      </w:pPr>
      <w:r>
        <w:rPr>
          <w:bCs/>
          <w:b/>
        </w:rPr>
        <w:t xml:space="preserve">Expand Mobile-First Sales Architecture:</w:t>
      </w:r>
      <w:r>
        <w:t xml:space="preserve"> </w:t>
      </w:r>
      <w:r>
        <w:t xml:space="preserve">Allocate 35% of the budget to develop AI-powered chatbots for Yangon's most remote townships (e.g., Bahan, Thongwa) that operate via basic SMS.</w:t>
      </w:r>
    </w:p>
    <w:p>
      <w:pPr>
        <w:numPr>
          <w:ilvl w:val="0"/>
          <w:numId w:val="1004"/>
        </w:numPr>
        <w:pStyle w:val="Compact"/>
      </w:pPr>
      <w:r>
        <w:rPr>
          <w:bCs/>
          <w:b/>
        </w:rPr>
        <w:t xml:space="preserve">Create a Constituent Loyalty Program:</w:t>
      </w:r>
      <w:r>
        <w:t xml:space="preserve"> </w:t>
      </w:r>
      <w:r>
        <w:t xml:space="preserve">Launch "Myanmar VotePoints" – a rewards system where voters earn points for attending community meetings, redeemable for free healthcare check-ups or business consulting at 85 Yangon clinics.</w:t>
      </w:r>
    </w:p>
    <w:bookmarkEnd w:id="28"/>
    <w:bookmarkStart w:id="29" w:name="X3b2dbdc740ca870476a2fd47d97310b105a8cc8"/>
    <w:p>
      <w:pPr>
        <w:pStyle w:val="Heading2"/>
      </w:pPr>
      <w:r>
        <w:t xml:space="preserve">Conclusion: The Future of Politics as a Sales Process</w:t>
      </w:r>
    </w:p>
    <w:p>
      <w:pPr>
        <w:pStyle w:val="FirstParagraph"/>
      </w:pPr>
      <w:r>
        <w:t xml:space="preserve">This Sales Report conclusively demonstrates that modern political engagement in Myanmar Yangon functions as a sophisticated sales operation. The featured Politician has transitioned from traditional campaigning to an evidence-based sales model where every policy initiative is designed as a service package with measurable consumer adoption metrics. As evidenced by our 1,980% growth in local partnership sales and 203% increase in voter engagement across Yangon, this approach has fundamentally redefined political success in Myanmar's capital city.</w:t>
      </w:r>
    </w:p>
    <w:p>
      <w:pPr>
        <w:pStyle w:val="BodyText"/>
      </w:pPr>
      <w:r>
        <w:t xml:space="preserve">Our analysis confirms that effective Sales Report execution for a Politician requires constant adaptation to Yangon's unique ecosystem – where infrastructure limitations, cultural dynamics, and regulatory constraints must all be viewed as sales channels rather than obstacles. The 800+ mile journey from policy drafting to voter acquisition in Yangon is no longer an obstacle but the very foundation of our winning strategy.</w:t>
      </w:r>
    </w:p>
    <w:p>
      <w:pPr>
        <w:pStyle w:val="BodyText"/>
      </w:pPr>
      <w:r>
        <w:t xml:space="preserve">For Myanmar Yangon's political future, this Sales Report proves that when politics becomes a service-oriented sales process, constituent satisfaction becomes the ultimate metric of success – and the Politician's mandate transforms from a campaign promise into an ongoing customer relationship.</w:t>
      </w:r>
    </w:p>
    <w:p>
      <w:pPr>
        <w:pStyle w:val="BodyText"/>
      </w:pPr>
      <w:r>
        <w:t xml:space="preserve">Prepared for Political Engagement Division | Myanmar Yangon Operations</w:t>
      </w:r>
    </w:p>
    <w:p>
      <w:pPr>
        <w:pStyle w:val="BodyText"/>
      </w:pPr>
      <w:r>
        <w:t xml:space="preserve">Report Date: June 15, 2024 | Total Words: 873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Report: Yangon, Myanmar</dc:title>
  <dc:creator/>
  <dc:language>en</dc:language>
  <cp:keywords/>
  <dcterms:created xsi:type="dcterms:W3CDTF">2025-12-13T06:18:38Z</dcterms:created>
  <dcterms:modified xsi:type="dcterms:W3CDTF">2025-12-13T06:18:38Z</dcterms:modified>
</cp:coreProperties>
</file>

<file path=docProps/custom.xml><?xml version="1.0" encoding="utf-8"?>
<Properties xmlns="http://schemas.openxmlformats.org/officeDocument/2006/custom-properties" xmlns:vt="http://schemas.openxmlformats.org/officeDocument/2006/docPropsVTypes"/>
</file>