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Performance</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28" w:name="X2e28a6c973aa2d55cce121731d20c08e3dfc4cd"/>
    <w:p>
      <w:pPr>
        <w:pStyle w:val="Heading1"/>
      </w:pPr>
      <w:r>
        <w:t xml:space="preserve">Sales Report: Political Campaign Performance Analysis for Netherlands Amsterdam</w:t>
      </w:r>
    </w:p>
    <w:bookmarkStart w:id="20" w:name="executive-summary"/>
    <w:p>
      <w:pPr>
        <w:pStyle w:val="Heading2"/>
      </w:pPr>
      <w:r>
        <w:t xml:space="preserve">Executive Summary</w:t>
      </w:r>
    </w:p>
    <w:p>
      <w:pPr>
        <w:pStyle w:val="FirstParagraph"/>
      </w:pPr>
      <w:r>
        <w:t xml:space="preserve">This comprehensive Sales Report details the performance metrics of a leading Politician's campaign strategy within the municipal context of Amsterdam, Netherlands. As a key political figure operating in the dynamic urban landscape of Netherlands Amsterdam, this report evaluates voter engagement, policy adoption rates, and community outreach initiatives as analogous to commercial "sales" success. The data presented demonstrates how strategic communication and community-focused policies function as the core "products" being sold to the electorate in one of Europe's most progressive cities. This Sales Report confirms that effective political leadership in Netherlands Amsterdam directly correlates with measurable voter satisfaction metrics – a critical indicator of electoral success.</w:t>
      </w:r>
    </w:p>
    <w:bookmarkEnd w:id="20"/>
    <w:bookmarkStart w:id="21" w:name="Xd28580c8d195f09c86c5654caa6cfa5ccd0a60f"/>
    <w:p>
      <w:pPr>
        <w:pStyle w:val="Heading2"/>
      </w:pPr>
      <w:r>
        <w:t xml:space="preserve">Market Analysis: The Netherlands Amsterdam Voter Landscape</w:t>
      </w:r>
    </w:p>
    <w:p>
      <w:pPr>
        <w:pStyle w:val="FirstParagraph"/>
      </w:pPr>
      <w:r>
        <w:t xml:space="preserve">The political market within Netherlands Amsterdam presents unique characteristics demanding tailored strategies. With a population exceeding 875,000 residents spread across 13 districts (including Oosterpark, De Pijp, and Centrum), voter demographics are highly diverse: approximately 43% identify as progressive (GroenLinks/VVD), 28% as centrist (D66/CDA), and 29% as conservative/other. Housing affordability (a critical issue in Amsterdam) drives over 70% of voter concerns, followed by public transport efficiency and climate action. As the Politician navigated this complex market, their Sales Report strategy focused on translating policy proposals into tangible benefits – much like a product launch targeting specific customer pain points. The core "product" was a comprehensive housing renewal plan ("Amsterdam Housing 2030"), designed to address the city's acute shortage of affordable units.</w:t>
      </w:r>
    </w:p>
    <w:bookmarkEnd w:id="21"/>
    <w:bookmarkStart w:id="22" w:name="X3e90206d6fe273713ab2035c36c686e4f0e009e"/>
    <w:p>
      <w:pPr>
        <w:pStyle w:val="Heading2"/>
      </w:pPr>
      <w:r>
        <w:t xml:space="preserve">Strategy Implementation: Campaign as Sales Funnel</w:t>
      </w:r>
    </w:p>
    <w:p>
      <w:pPr>
        <w:pStyle w:val="FirstParagraph"/>
      </w:pPr>
      <w:r>
        <w:t xml:space="preserve">The Politician's campaign adopted a structured Sales Report framework modeled on commercial best practices. The "lead generation" phase involved neighborhood assemblies across 12 Amsterdam districts, targeting residents in high-demand housing areas (e.g., Nieuw-West). This was followed by personalized "product demos" – policy workshops explaining how the Housing 2030 plan would directly benefit specific communities. Crucially, the Politician leveraged digital sales channels through an Amsterdam-specific app ("Amsterdam VoteHub"), mirroring e-commerce engagement tactics. Monthly "sales performance" metrics were tracked: social media sentiment (78% positive), workshop attendance (5,412 participants), and policy query resolution rates (92%). This systematic approach transformed abstract political promises into relatable solutions – a hallmark of successful sales in the Netherlands Amsterdam context.</w:t>
      </w:r>
    </w:p>
    <w:bookmarkEnd w:id="22"/>
    <w:bookmarkStart w:id="23" w:name="X15ea5a9010364035e6954c1831b28efef4a873d"/>
    <w:p>
      <w:pPr>
        <w:pStyle w:val="Heading2"/>
      </w:pPr>
      <w:r>
        <w:t xml:space="preserve">Key Performance Indicators: Measuring Political "Sales"</w:t>
      </w:r>
    </w:p>
    <w:p>
      <w:pPr>
        <w:pStyle w:val="FirstParagraph"/>
      </w:pPr>
      <w:r>
        <w:t xml:space="preserve">This Sales Report quantifies success using metrics directly analogous to commercial sales analytics:</w:t>
      </w:r>
    </w:p>
    <w:p>
      <w:pPr>
        <w:numPr>
          <w:ilvl w:val="0"/>
          <w:numId w:val="1001"/>
        </w:numPr>
        <w:pStyle w:val="Compact"/>
      </w:pPr>
      <w:r>
        <w:rPr>
          <w:bCs/>
          <w:b/>
        </w:rPr>
        <w:t xml:space="preserve">Voter Acquisition Rate:</w:t>
      </w:r>
      <w:r>
        <w:t xml:space="preserve"> </w:t>
      </w:r>
      <w:r>
        <w:t xml:space="preserve">65.3% of new supporters acquired during the campaign (vs. 58% for competitors), demonstrating effective "product" positioning in Netherlands Amsterdam.</w:t>
      </w:r>
    </w:p>
    <w:p>
      <w:pPr>
        <w:numPr>
          <w:ilvl w:val="0"/>
          <w:numId w:val="1001"/>
        </w:numPr>
        <w:pStyle w:val="Compact"/>
      </w:pPr>
      <w:r>
        <w:rPr>
          <w:bCs/>
          <w:b/>
        </w:rPr>
        <w:t xml:space="preserve">Cross-Sell Conversion:</w:t>
      </w:r>
      <w:r>
        <w:t xml:space="preserve"> </w:t>
      </w:r>
      <w:r>
        <w:t xml:space="preserve">42% of housing-focused voters also engaged with the climate action initiative ("Amsterdam Green Mobility"), indicating successful bundling of policy solutions.</w:t>
      </w:r>
    </w:p>
    <w:p>
      <w:pPr>
        <w:numPr>
          <w:ilvl w:val="0"/>
          <w:numId w:val="1001"/>
        </w:numPr>
        <w:pStyle w:val="Compact"/>
      </w:pPr>
      <w:r>
        <w:rPr>
          <w:bCs/>
          <w:b/>
        </w:rPr>
        <w:t xml:space="preserve">Customer Retention (Voter Loyalty):</w:t>
      </w:r>
      <w:r>
        <w:t xml:space="preserve"> </w:t>
      </w:r>
      <w:r>
        <w:t xml:space="preserve">78% of existing supporters from prior elections voted for this Politician, exceeding the municipal average of 62%.</w:t>
      </w:r>
    </w:p>
    <w:p>
      <w:pPr>
        <w:numPr>
          <w:ilvl w:val="0"/>
          <w:numId w:val="1001"/>
        </w:numPr>
        <w:pStyle w:val="Compact"/>
      </w:pPr>
      <w:r>
        <w:rPr>
          <w:bCs/>
          <w:b/>
        </w:rPr>
        <w:t xml:space="preserve">Net Promoter Score (NPS):</w:t>
      </w:r>
      <w:r>
        <w:t xml:space="preserve"> </w:t>
      </w:r>
      <w:r>
        <w:t xml:space="preserve">Amsterdam residents gave a +54 NPS score for campaign communication – significantly higher than the sector average (+31), proving effective "product" value perception.</w:t>
      </w:r>
    </w:p>
    <w:p>
      <w:pPr>
        <w:pStyle w:val="FirstParagraph"/>
      </w:pPr>
      <w:r>
        <w:t xml:space="preserve">These metrics confirm that the Politician's strategy functioned as a high-velocity sales engine within Netherlands Amsterdam's unique political economy.</w:t>
      </w:r>
    </w:p>
    <w:bookmarkEnd w:id="23"/>
    <w:bookmarkStart w:id="24" w:name="case-study-oosterpark-housing-initiative"/>
    <w:p>
      <w:pPr>
        <w:pStyle w:val="Heading2"/>
      </w:pPr>
      <w:r>
        <w:t xml:space="preserve">Case Study: Oosterpark Housing Initiative</w:t>
      </w:r>
    </w:p>
    <w:p>
      <w:pPr>
        <w:pStyle w:val="FirstParagraph"/>
      </w:pPr>
      <w:r>
        <w:t xml:space="preserve">A pivotal campaign "sale" occurred in the Oosterpark district, where 18% of residents faced severe housing stress. The Politician deployed a targeted Sales Report outreach: 15 neighborhood "sales meetings," co-created policy briefings with local community centers, and real-time progress tracking via the Amsterdam VoteHub app. Within three months, this initiative secured 87% resident support for the Housing 2030 plan – translating to a measurable reduction in housing complaint filings by 34%. The case exemplifies how personalized engagement drives political "sales" success in dense urban environments like Netherlands Amsterdam.</w:t>
      </w:r>
    </w:p>
    <w:bookmarkEnd w:id="24"/>
    <w:bookmarkStart w:id="25" w:name="challenges-and-strategic-adjustments"/>
    <w:p>
      <w:pPr>
        <w:pStyle w:val="Heading2"/>
      </w:pPr>
      <w:r>
        <w:t xml:space="preserve">Challenges and Strategic Adjustments</w:t>
      </w:r>
    </w:p>
    <w:p>
      <w:pPr>
        <w:pStyle w:val="FirstParagraph"/>
      </w:pPr>
      <w:r>
        <w:t xml:space="preserve">Initial market research revealed a key challenge: 61% of Amsterdam residents distrusted political promises due to historical policy gaps. To counter this, the Politician implemented an unprecedented transparency "sales feature" – quarterly public audits of campaign funding and policy progress reports, shared via email and community kiosks across Netherlands Amsterdam. This built trust rapidly, increasing voter confidence by 27 percentage points within six weeks. The Sales Report documented this adjustment as a critical pivot point in the campaign's sales cycle.</w:t>
      </w:r>
    </w:p>
    <w:bookmarkEnd w:id="25"/>
    <w:bookmarkStart w:id="26" w:name="Xfd806cd4b2b48e8963045ff97b5cb1b2c465219"/>
    <w:p>
      <w:pPr>
        <w:pStyle w:val="Heading2"/>
      </w:pPr>
      <w:r>
        <w:t xml:space="preserve">Results: Electoral Performance as Sales Outcome</w:t>
      </w:r>
    </w:p>
    <w:p>
      <w:pPr>
        <w:pStyle w:val="FirstParagraph"/>
      </w:pPr>
      <w:r>
        <w:t xml:space="preserve">The ultimate validation of this Sales Report framework materialized in the May 2024 municipal election results. The Politician secured 58.7% of votes in Amsterdam, a 17-point increase from their previous mandate. Crucially, their Housing 2030 plan became the most endorsed policy in Netherlands Amsterdam's electoral history (63% support). Post-election surveys confirmed that 74% of voters cited "clear communication of benefits" as the primary reason for voting for this Politician – directly mirroring commercial customer purchase drivers. This electoral triumph proves that political leadership in Netherlands Amsterdam operates effectively as a sales-driven enterprise.</w:t>
      </w:r>
    </w:p>
    <w:bookmarkEnd w:id="26"/>
    <w:bookmarkStart w:id="27" w:name="conclusion-the-future-sales-pipeline"/>
    <w:p>
      <w:pPr>
        <w:pStyle w:val="Heading2"/>
      </w:pPr>
      <w:r>
        <w:t xml:space="preserve">Conclusion: The Future Sales Pipeline</w:t>
      </w:r>
    </w:p>
    <w:p>
      <w:pPr>
        <w:pStyle w:val="FirstParagraph"/>
      </w:pPr>
      <w:r>
        <w:t xml:space="preserve">This Sales Report underscores that political success in Netherlands Amsterdam hinges on treating constituents like valued customers and policies like high-demand products. The Politician's ability to consistently "sell" tangible solutions – housing, mobility, sustainability – through data-driven engagement has redefined municipal leadership in Europe's most innovative city. As the next term begins, this Sales Report establishes a replicable model: continuous feedback loops (like Amsterdam VoteHub), hyperlocal customization (Oosterpark case study), and unwavering transparency will form the foundation for future "sales" cycles. In a city where political performance is measured in community impact, not just votes, this Politician has proven that effective governance is the ultimate product. For any entity operating in Netherlands Amsterdam – whether government or business – mastering this sales mindset is no longer optional; it's the currency of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Performance Sales Report: Netherlands Amsterdam</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