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Auckland</w:t>
      </w:r>
      <w:r>
        <w:t xml:space="preserve"> </w:t>
      </w:r>
      <w:r>
        <w:t xml:space="preserve">Focus</w:t>
      </w:r>
    </w:p>
    <w:bookmarkStart w:id="20" w:name="Xc9117e5d54b5e015271e6d786efd9bdbe260bd6"/>
    <w:p>
      <w:pPr>
        <w:pStyle w:val="Heading1"/>
      </w:pPr>
      <w:r>
        <w:t xml:space="preserve">ANNUAL POLITICAL SALES PERFORMANCE REPORT: AUCKLAND EXECUTIVE LEADERSHIP</w:t>
      </w:r>
    </w:p>
    <w:p>
      <w:pPr>
        <w:pStyle w:val="FirstParagraph"/>
      </w:pPr>
      <w:r>
        <w:t xml:space="preserve">Prepared for the New Zealand Auckland Political Strategy Council | Q4 2023 - Q3 2024</w:t>
      </w:r>
    </w:p>
    <w:bookmarkEnd w:id="20"/>
    <w:p>
      <w:pPr>
        <w:pStyle w:val="BodyText"/>
      </w:pPr>
      <w:r>
        <w:rPr>
          <w:bCs/>
          <w:b/>
        </w:rPr>
        <w:t xml:space="preserve">Prepared By:</w:t>
      </w:r>
      <w:r>
        <w:t xml:space="preserve"> </w:t>
      </w:r>
      <w:r>
        <w:t xml:space="preserve">Auckland Political Analytics Division</w:t>
      </w:r>
      <w:r>
        <w:br/>
      </w:r>
      <w:r>
        <w:rPr>
          <w:bCs/>
          <w:b/>
        </w:rPr>
        <w:t xml:space="preserve">Date:</w:t>
      </w:r>
      <w:r>
        <w:t xml:space="preserve"> </w:t>
      </w:r>
      <w:r>
        <w:t xml:space="preserve">October 26, 2024</w:t>
      </w:r>
      <w:r>
        <w:br/>
      </w:r>
      <w:r>
        <w:rPr>
          <w:bCs/>
          <w:b/>
        </w:rPr>
        <w:t xml:space="preserve">Subject:</w:t>
      </w:r>
      <w:r>
        <w:t xml:space="preserve"> </w:t>
      </w:r>
      <w:r>
        <w:t xml:space="preserve">Sales Performance Analysis of Key Politician Candidates &amp; Policies in New Zealand's Largest Urban Market</w:t>
      </w:r>
    </w:p>
    <w:bookmarkStart w:id="21" w:name="executive-summary"/>
    <w:p>
      <w:pPr>
        <w:pStyle w:val="Heading2"/>
      </w:pPr>
      <w:r>
        <w:t xml:space="preserve">Executive Summary</w:t>
      </w:r>
    </w:p>
    <w:p>
      <w:pPr>
        <w:pStyle w:val="FirstParagraph"/>
      </w:pPr>
      <w:r>
        <w:t xml:space="preserve">This comprehensive Sales Report evaluates the electoral and policy adoption performance of leading Politician candidates across New Zealand Auckland during the 2023-2024 election cycle. As Auckland represents New Zealand's most dynamic economic hub—home to 37% of the nation's population—the success metrics for any Politician directly correlate with their ability to "sell" vision, solutions, and leadership. Our analysis confirms that effective political sales strategies in Auckland now require data-driven community engagement rather than traditional campaign tactics. The top-performing Politician achieved a 68% policy adoption rate among target demographics, significantly outperforming the sector average of 42%, proving that modern political sales demand authentic connection with Auckland's diverse electorate.</w:t>
      </w:r>
    </w:p>
    <w:bookmarkEnd w:id="21"/>
    <w:bookmarkStart w:id="22" w:name="X3dca2389f68f133646236eda40108bbb7b59558"/>
    <w:p>
      <w:pPr>
        <w:pStyle w:val="Heading2"/>
      </w:pPr>
      <w:r>
        <w:t xml:space="preserve">Market Analysis: The Auckland Sales Landscape</w:t>
      </w:r>
    </w:p>
    <w:p>
      <w:pPr>
        <w:pStyle w:val="FirstParagraph"/>
      </w:pPr>
      <w:r>
        <w:t xml:space="preserve">New Zealand Auckland operates as a high-stakes sales territory where voter sentiment shifts rapidly. This market is characterized by three distinct buyer segments: coastal urban professionals (35% of electorate), suburban family households (41%), and Māori &amp; Pasifika communities (24%). The critical insight from our Sales Report is that a Politician's success hinges on understanding these segments' unique "product" needs:</w:t>
      </w:r>
    </w:p>
    <w:p>
      <w:pPr>
        <w:numPr>
          <w:ilvl w:val="0"/>
          <w:numId w:val="1001"/>
        </w:numPr>
        <w:pStyle w:val="Compact"/>
      </w:pPr>
      <w:r>
        <w:rPr>
          <w:bCs/>
          <w:b/>
        </w:rPr>
        <w:t xml:space="preserve">Urban Professionals</w:t>
      </w:r>
      <w:r>
        <w:t xml:space="preserve">: Demand economic innovation, housing affordability solutions, and sustainable transport.</w:t>
      </w:r>
    </w:p>
    <w:p>
      <w:pPr>
        <w:numPr>
          <w:ilvl w:val="0"/>
          <w:numId w:val="1001"/>
        </w:numPr>
        <w:pStyle w:val="Compact"/>
      </w:pPr>
      <w:r>
        <w:rPr>
          <w:bCs/>
          <w:b/>
        </w:rPr>
        <w:t xml:space="preserve">Suburban Families</w:t>
      </w:r>
      <w:r>
        <w:t xml:space="preserve">: Prioritize education funding, healthcare access, and community safety.</w:t>
      </w:r>
    </w:p>
    <w:p>
      <w:pPr>
        <w:numPr>
          <w:ilvl w:val="0"/>
          <w:numId w:val="1001"/>
        </w:numPr>
        <w:pStyle w:val="Compact"/>
      </w:pPr>
      <w:r>
        <w:rPr>
          <w:bCs/>
          <w:b/>
        </w:rPr>
        <w:t xml:space="preserve">Māori &amp; Pasifika Communities</w:t>
      </w:r>
      <w:r>
        <w:t xml:space="preserve">: Seek cultural recognition in policy design and equitable resource allocation.</w:t>
      </w:r>
    </w:p>
    <w:p>
      <w:pPr>
        <w:pStyle w:val="FirstParagraph"/>
      </w:pPr>
      <w:r>
        <w:t xml:space="preserve">Our research confirms that Politician campaigns ignoring Auckland's multicultural fabric face a 73% higher customer (voter) churn rate compared to those integrating Te Tiriti o Waitangi principles into their sales pitch.</w:t>
      </w:r>
    </w:p>
    <w:bookmarkEnd w:id="22"/>
    <w:bookmarkStart w:id="23" w:name="X239b1c7c5d26f0e05e51d82b060b6b01e34500e"/>
    <w:p>
      <w:pPr>
        <w:pStyle w:val="Heading2"/>
      </w:pPr>
      <w:r>
        <w:t xml:space="preserve">Key Performance Indicators: Political Sales Metrics</w:t>
      </w:r>
    </w:p>
    <w:p>
      <w:pPr>
        <w:pStyle w:val="FirstParagraph"/>
      </w:pPr>
      <w:r>
        <w:rPr>
          <w:bCs/>
          <w:b/>
        </w:rPr>
        <w:t xml:space="preserve">Crucial Insight:</w:t>
      </w:r>
      <w:r>
        <w:t xml:space="preserve"> </w:t>
      </w:r>
      <w:r>
        <w:t xml:space="preserve">In the Auckland political marketplace, "sales" equates to voter conversion (from undecided to supporter) and policy buy-in. Our proprietary metric—</w:t>
      </w:r>
      <w:r>
        <w:rPr>
          <w:iCs/>
          <w:i/>
        </w:rPr>
        <w:t xml:space="preserve">Auckland Electorate Adoption Rate (AEAR)</w:t>
      </w:r>
      <w:r>
        <w:t xml:space="preserve">—measures how effectively a Politician converts their vision into community 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Politician &amp; Party</w:t>
            </w:r>
          </w:p>
        </w:tc>
        <w:tc>
          <w:tcPr/>
          <w:p>
            <w:pPr>
              <w:pStyle w:val="Compact"/>
              <w:jc w:val="left"/>
            </w:pPr>
            <w:r>
              <w:t xml:space="preserve">AEAR Score</w:t>
            </w:r>
          </w:p>
        </w:tc>
        <w:tc>
          <w:tcPr/>
          <w:p>
            <w:pPr>
              <w:pStyle w:val="Compact"/>
              <w:jc w:val="left"/>
            </w:pPr>
            <w:r>
              <w:t xml:space="preserve">Housing Policy Sales</w:t>
            </w:r>
          </w:p>
        </w:tc>
        <w:tc>
          <w:tcPr/>
          <w:p>
            <w:pPr>
              <w:pStyle w:val="Compact"/>
              <w:jc w:val="left"/>
            </w:pPr>
            <w:r>
              <w:t xml:space="preserve">Sustainability Initiative Adoption</w:t>
            </w:r>
          </w:p>
        </w:tc>
      </w:tr>
      <w:tr>
        <w:tc>
          <w:tcPr/>
          <w:p>
            <w:pPr>
              <w:pStyle w:val="Compact"/>
              <w:jc w:val="left"/>
            </w:pPr>
            <w:r>
              <w:t xml:space="preserve">Dr. A. Williams (Labour)</w:t>
            </w:r>
          </w:p>
        </w:tc>
        <w:tc>
          <w:tcPr/>
          <w:p>
            <w:pPr>
              <w:pStyle w:val="Compact"/>
              <w:jc w:val="left"/>
            </w:pPr>
            <w:r>
              <w:t xml:space="preserve">68.3%</w:t>
            </w:r>
          </w:p>
        </w:tc>
        <w:tc>
          <w:tcPr/>
          <w:p>
            <w:pPr>
              <w:pStyle w:val="Compact"/>
              <w:jc w:val="left"/>
            </w:pPr>
            <w:r>
              <w:t xml:space="preserve">74%</w:t>
            </w:r>
          </w:p>
        </w:tc>
        <w:tc>
          <w:tcPr/>
          <w:p>
            <w:pPr>
              <w:pStyle w:val="Compact"/>
              <w:jc w:val="left"/>
            </w:pPr>
            <w:r>
              <w:t xml:space="preserve">81%</w:t>
            </w:r>
          </w:p>
        </w:tc>
      </w:tr>
      <w:tr>
        <w:tc>
          <w:tcPr/>
          <w:p>
            <w:pPr>
              <w:pStyle w:val="Compact"/>
              <w:jc w:val="left"/>
            </w:pPr>
            <w:r>
              <w:t xml:space="preserve">Councillor T. Singh (National)</w:t>
            </w:r>
          </w:p>
        </w:tc>
        <w:tc>
          <w:tcPr/>
          <w:p>
            <w:pPr>
              <w:pStyle w:val="Compact"/>
              <w:jc w:val="left"/>
            </w:pPr>
            <w:r>
              <w:t xml:space="preserve">47.6%</w:t>
            </w:r>
          </w:p>
        </w:tc>
        <w:tc>
          <w:tcPr/>
          <w:p>
            <w:pPr>
              <w:pStyle w:val="Compact"/>
              <w:jc w:val="left"/>
            </w:pPr>
            <w:r>
              <w:t xml:space="preserve">52%</w:t>
            </w:r>
          </w:p>
        </w:tc>
        <w:tc>
          <w:tcPr>
            <w:vMerge w:val="restart"/>
          </w:tcPr>
          <w:p>
            <w:pPr>
              <w:pStyle w:val="Compact"/>
              <w:jc w:val="left"/>
            </w:pPr>
            <w:r>
              <w:t xml:space="preserve">39% (below market average)</w:t>
            </w:r>
          </w:p>
        </w:tc>
      </w:tr>
      <w:tr>
        <w:tc>
          <w:tcPr/>
          <w:p>
            <w:pPr>
              <w:pStyle w:val="Compact"/>
              <w:jc w:val="left"/>
            </w:pPr>
            <w:r>
              <w:t xml:space="preserve">Mrs. J. Ngātai (Māori Party)</w:t>
            </w:r>
          </w:p>
        </w:tc>
        <w:tc>
          <w:tcPr/>
          <w:p>
            <w:pPr>
              <w:pStyle w:val="Compact"/>
              <w:jc w:val="left"/>
            </w:pPr>
            <w:r>
              <w:t xml:space="preserve">71.2%</w:t>
            </w:r>
          </w:p>
        </w:tc>
        <w:tc>
          <w:tcPr/>
          <w:p>
            <w:pPr>
              <w:pStyle w:val="Compact"/>
              <w:jc w:val="left"/>
            </w:pPr>
            <w:r>
              <w:t xml:space="preserve">65%</w:t>
            </w:r>
          </w:p>
        </w:tc>
        <w:tc>
          <w:tcPr>
            <w:gridSpan w:val="1"/>
            <w:vMerge w:val="continue"/>
          </w:tcPr>
          <w:p>
            <w:pPr/>
          </w:p>
        </w:tc>
      </w:tr>
    </w:tbl>
    <w:p>
      <w:pPr>
        <w:pStyle w:val="BodyText"/>
      </w:pPr>
      <w:r>
        <w:t xml:space="preserve">The standout performer, Dr. Williams, achieved 29% higher AEAR than the sector median by implementing a hyper-localized sales strategy—holding 184 community "solution clinics" across Auckland neighborhoods to co-create housing policy with residents. This approach directly addressed the #1 buyer concern in our Auckland market research: feeling unheard by Politician candidates.</w:t>
      </w:r>
    </w:p>
    <w:bookmarkEnd w:id="23"/>
    <w:bookmarkStart w:id="24" w:name="competitive-sales-landscape-analysis"/>
    <w:p>
      <w:pPr>
        <w:pStyle w:val="Heading2"/>
      </w:pPr>
      <w:r>
        <w:t xml:space="preserve">Competitive Sales Landscape Analysis</w:t>
      </w:r>
    </w:p>
    <w:p>
      <w:pPr>
        <w:pStyle w:val="FirstParagraph"/>
      </w:pPr>
      <w:r>
        <w:t xml:space="preserve">Auckland's political arena functions as a competitive marketplace where voters "switch brands" annually. Our data reveals that only 38% of New Zealand Auckland residents consistently support the same Politician across elections—a figure mirroring consumer loyalty rates in retail sectors. The most successful Politician candidates in our Sales Report demonstrated three critical sales differentiators:</w:t>
      </w:r>
    </w:p>
    <w:p>
      <w:pPr>
        <w:numPr>
          <w:ilvl w:val="0"/>
          <w:numId w:val="1002"/>
        </w:numPr>
        <w:pStyle w:val="Compact"/>
      </w:pPr>
      <w:r>
        <w:rPr>
          <w:bCs/>
          <w:b/>
        </w:rPr>
        <w:t xml:space="preserve">Hyper-Local Engagement</w:t>
      </w:r>
      <w:r>
        <w:t xml:space="preserve">: Conducting door-knocking campaigns specifically tailored to each suburb's economic profile (e.g., Ponsonby vs. Papakura).</w:t>
      </w:r>
    </w:p>
    <w:p>
      <w:pPr>
        <w:numPr>
          <w:ilvl w:val="0"/>
          <w:numId w:val="1002"/>
        </w:numPr>
        <w:pStyle w:val="Compact"/>
      </w:pPr>
      <w:r>
        <w:rPr>
          <w:bCs/>
          <w:b/>
        </w:rPr>
        <w:t xml:space="preserve">Solution-Based Messaging</w:t>
      </w:r>
      <w:r>
        <w:t xml:space="preserve">: Trading generic promises ("I'll fix housing") for quantifiable outcomes ("12,000 new homes by 2027 in West Auckland").</w:t>
      </w:r>
    </w:p>
    <w:p>
      <w:pPr>
        <w:numPr>
          <w:ilvl w:val="0"/>
          <w:numId w:val="1002"/>
        </w:numPr>
        <w:pStyle w:val="Compact"/>
      </w:pPr>
      <w:r>
        <w:rPr>
          <w:bCs/>
          <w:b/>
        </w:rPr>
        <w:t xml:space="preserve">Multi-Channel Sales Funnels</w:t>
      </w:r>
      <w:r>
        <w:t xml:space="preserve">: Integrating TikTok town halls (reaching 68% of Auckland's 18-34yo), traditional radio, and community center forums.</w:t>
      </w:r>
    </w:p>
    <w:p>
      <w:pPr>
        <w:pStyle w:val="FirstParagraph"/>
      </w:pPr>
      <w:r>
        <w:t xml:space="preserve">Notably, Politician candidates utilizing digital sales channels saw a 52% higher voter conversion rate in Auckland compared to those relying solely on print media. The data clearly shows that the "sales process" for winning Auckland votes now requires the same agility as selling premium products in New Zealand's competitive retail market.</w:t>
      </w:r>
    </w:p>
    <w:bookmarkEnd w:id="24"/>
    <w:bookmarkStart w:id="25" w:name="policy-adoption-the-true-sales-metric"/>
    <w:p>
      <w:pPr>
        <w:pStyle w:val="Heading2"/>
      </w:pPr>
      <w:r>
        <w:t xml:space="preserve">Policy Adoption: The True Sales Metric</w:t>
      </w:r>
    </w:p>
    <w:p>
      <w:pPr>
        <w:pStyle w:val="FirstParagraph"/>
      </w:pPr>
      <w:r>
        <w:t xml:space="preserve">Unlike conventional sales reports measuring product purchases, this analysis prioritizes policy adoption—a direct proxy for Politician effectiveness. In New Zealand Auckland, policies with co-designed "buy-in" from target communities showed 3x higher implementation success rates. For instance:</w:t>
      </w:r>
    </w:p>
    <w:p>
      <w:pPr>
        <w:numPr>
          <w:ilvl w:val="0"/>
          <w:numId w:val="1003"/>
        </w:numPr>
        <w:pStyle w:val="Compact"/>
      </w:pPr>
      <w:r>
        <w:t xml:space="preserve">Williams' $500M Community Housing Fund: 92% adoption by community trusts after participatory planning sessions.</w:t>
      </w:r>
    </w:p>
    <w:p>
      <w:pPr>
        <w:numPr>
          <w:ilvl w:val="0"/>
          <w:numId w:val="1003"/>
        </w:numPr>
        <w:pStyle w:val="Compact"/>
      </w:pPr>
      <w:r>
        <w:t xml:space="preserve">National Party's "Traffic Flow Initiative": Only 41% municipal adoption due to top-down design without local business input.</w:t>
      </w:r>
    </w:p>
    <w:p>
      <w:pPr>
        <w:pStyle w:val="FirstParagraph"/>
      </w:pPr>
      <w:r>
        <w:rPr>
          <w:bCs/>
          <w:b/>
        </w:rPr>
        <w:t xml:space="preserve">Strategic Imperative:</w:t>
      </w:r>
      <w:r>
        <w:t xml:space="preserve"> </w:t>
      </w:r>
      <w:r>
        <w:t xml:space="preserve">For any Politician operating in New Zealand Auckland, policy success isn't about the number of promises made—it's about how many are actively bought into by the community. Our Sales Report confirms that each 10% increase in AEAR correlates with a 23% rise in local government funding secured for Auckland projects.</w:t>
      </w:r>
    </w:p>
    <w:bookmarkEnd w:id="25"/>
    <w:bookmarkStart w:id="26" w:name="challenges-strategic-recommendations"/>
    <w:p>
      <w:pPr>
        <w:pStyle w:val="Heading2"/>
      </w:pPr>
      <w:r>
        <w:t xml:space="preserve">Challenges &amp; Strategic Recommendations</w:t>
      </w:r>
    </w:p>
    <w:p>
      <w:pPr>
        <w:pStyle w:val="FirstParagraph"/>
      </w:pPr>
      <w:r>
        <w:t xml:space="preserve">Our analysis identifies three critical sales obstacles facing Politicians in Auckland:</w:t>
      </w:r>
    </w:p>
    <w:p>
      <w:pPr>
        <w:numPr>
          <w:ilvl w:val="0"/>
          <w:numId w:val="1004"/>
        </w:numPr>
        <w:pStyle w:val="Compact"/>
      </w:pPr>
      <w:r>
        <w:rPr>
          <w:iCs/>
          <w:i/>
        </w:rPr>
        <w:t xml:space="preserve">Voter Fatigue</w:t>
      </w:r>
      <w:r>
        <w:t xml:space="preserve">: 67% of Aucklanders feel politicians "repeat the same sales pitch" annually.</w:t>
      </w:r>
    </w:p>
    <w:p>
      <w:pPr>
        <w:numPr>
          <w:ilvl w:val="0"/>
          <w:numId w:val="1004"/>
        </w:numPr>
        <w:pStyle w:val="Compact"/>
      </w:pPr>
      <w:r>
        <w:rPr>
          <w:iCs/>
          <w:i/>
        </w:rPr>
        <w:t xml:space="preserve">Cultural Misalignment</w:t>
      </w:r>
      <w:r>
        <w:t xml:space="preserve">: 54% of Māori voters report policies lack meaningful Te Ao Māori consultation.</w:t>
      </w:r>
    </w:p>
    <w:p>
      <w:pPr>
        <w:numPr>
          <w:ilvl w:val="0"/>
          <w:numId w:val="1004"/>
        </w:numPr>
        <w:pStyle w:val="Compact"/>
      </w:pPr>
      <w:r>
        <w:rPr>
          <w:iCs/>
          <w:i/>
        </w:rPr>
        <w:t xml:space="preserve">Trust Deficit</w:t>
      </w:r>
      <w:r>
        <w:t xml:space="preserve">: Only 31% of Aucklanders trust Politicians to "deliver what they sell" (vs. 62% for major retail brands).</w:t>
      </w:r>
    </w:p>
    <w:p>
      <w:pPr>
        <w:pStyle w:val="FirstParagraph"/>
      </w:pPr>
      <w:r>
        <w:t xml:space="preserve">Recommendations for next election cycle:</w:t>
      </w:r>
    </w:p>
    <w:p>
      <w:pPr>
        <w:numPr>
          <w:ilvl w:val="0"/>
          <w:numId w:val="1005"/>
        </w:numPr>
        <w:pStyle w:val="Compact"/>
      </w:pPr>
      <w:r>
        <w:rPr>
          <w:bCs/>
          <w:b/>
        </w:rPr>
        <w:t xml:space="preserve">Implement Real-Time Feedback Loops</w:t>
      </w:r>
      <w:r>
        <w:t xml:space="preserve">: Deploy digital "sales sentiment" dashboards tracking voter concerns during policy development.</w:t>
      </w:r>
    </w:p>
    <w:p>
      <w:pPr>
        <w:numPr>
          <w:ilvl w:val="0"/>
          <w:numId w:val="1005"/>
        </w:numPr>
        <w:pStyle w:val="Compact"/>
      </w:pPr>
      <w:r>
        <w:rPr>
          <w:bCs/>
          <w:b/>
        </w:rPr>
        <w:t xml:space="preserve">Co-Create Policy Solutions</w:t>
      </w:r>
      <w:r>
        <w:t xml:space="preserve">: Mandate minimum 6 community workshops per electoral district for all policy proposals.</w:t>
      </w:r>
    </w:p>
    <w:p>
      <w:pPr>
        <w:numPr>
          <w:ilvl w:val="0"/>
          <w:numId w:val="1005"/>
        </w:numPr>
        <w:pStyle w:val="Compact"/>
      </w:pPr>
      <w:r>
        <w:rPr>
          <w:bCs/>
          <w:b/>
        </w:rPr>
        <w:t xml:space="preserve">Brand Authenticity Campaigns</w:t>
      </w:r>
      <w:r>
        <w:t xml:space="preserve">: Showcase Politician's personal Auckland roots (e.g., "Raised in Manukau, building solutions for Manukau") as a trust-building sales tool.</w:t>
      </w:r>
    </w:p>
    <w:bookmarkEnd w:id="26"/>
    <w:bookmarkStart w:id="27" w:name="X8faf56fc6316a3e54136253cd66b3e6ab67d4e6"/>
    <w:p>
      <w:pPr>
        <w:pStyle w:val="Heading2"/>
      </w:pPr>
      <w:r>
        <w:t xml:space="preserve">Conclusion: The Future of Political Sales in Auckland</w:t>
      </w:r>
    </w:p>
    <w:p>
      <w:pPr>
        <w:pStyle w:val="FirstParagraph"/>
      </w:pPr>
      <w:r>
        <w:t xml:space="preserve">This Sales Report underscores that the role of Politician in New Zealand Auckland has evolved into that of a strategic solution architect and community sales leader. In an electorate where 79% of voters now research candidates on social media before voting, the traditional "sales pitch" is obsolete. The winning Politician will be the one who treats Auckland as a diverse, high-value market—not just a collection of polling booths.</w:t>
      </w:r>
    </w:p>
    <w:p>
      <w:pPr>
        <w:pStyle w:val="BodyText"/>
      </w:pPr>
      <w:r>
        <w:t xml:space="preserve">As demonstrated in our data, success in New Zealand's most populous region demands that Politician candidates master three core sales competencies: understanding local market needs (Auckland), delivering customized solutions (not generic promises), and building genuine trust. The 2024 election cycle has proven that a Politician who "sells" effectively in Auckland doesn't just win elections—they transform communities. For the first time, we see political campaigns adopting retail sales best practices: customer journey mapping, conversion rate optimization, and retention strategies—proving that in New Zealand's urban heartland, political success is fundamentally a sales achievement.</w:t>
      </w:r>
    </w:p>
    <w:p>
      <w:pPr>
        <w:pStyle w:val="BodyText"/>
      </w:pPr>
      <w:r>
        <w:t xml:space="preserve">© 2024 Auckland Political Analytics Division | Confidential Report for New Zealand Political Strategy Council</w:t>
      </w:r>
    </w:p>
    <w:p>
      <w:pPr>
        <w:pStyle w:val="BodyText"/>
      </w:pPr>
      <w:r>
        <w:t xml:space="preserve">Word Count: 874 | Data Source: Auckland Electorate Survey (N=15,320) &amp; Voter Tracking Systems (Q1 2023 - Q3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Auckland Focus</dc:title>
  <dc:creator/>
  <dc:language>en</dc:language>
  <cp:keywords/>
  <dcterms:created xsi:type="dcterms:W3CDTF">2026-07-25T01:01:46Z</dcterms:created>
  <dcterms:modified xsi:type="dcterms:W3CDTF">2026-07-25T01:01:46Z</dcterms:modified>
</cp:coreProperties>
</file>

<file path=docProps/custom.xml><?xml version="1.0" encoding="utf-8"?>
<Properties xmlns="http://schemas.openxmlformats.org/officeDocument/2006/custom-properties" xmlns:vt="http://schemas.openxmlformats.org/officeDocument/2006/docPropsVTypes"/>
</file>