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Peru</w:t>
      </w:r>
      <w:r>
        <w:t xml:space="preserve"> </w:t>
      </w:r>
      <w:r>
        <w:t xml:space="preserve">Lima</w:t>
      </w:r>
      <w:r>
        <w:t xml:space="preserve"> </w:t>
      </w:r>
      <w:r>
        <w:t xml:space="preserve">Sales</w:t>
      </w:r>
      <w:r>
        <w:t xml:space="preserve"> </w:t>
      </w:r>
      <w:r>
        <w:t xml:space="preserve">Report:</w:t>
      </w:r>
      <w:r>
        <w:t xml:space="preserve"> </w:t>
      </w:r>
      <w:r>
        <w:t xml:space="preserve">Political</w:t>
      </w:r>
      <w:r>
        <w:t xml:space="preserve"> </w:t>
      </w:r>
      <w:r>
        <w:t xml:space="preserve">Engagement</w:t>
      </w:r>
      <w:r>
        <w:t xml:space="preserve"> </w:t>
      </w:r>
      <w:r>
        <w:t xml:space="preserve">Metrics</w:t>
      </w:r>
    </w:p>
    <w:bookmarkStart w:id="30" w:name="Xa87569b14ed47edd0b68a9ade936dc7656f19d5"/>
    <w:p>
      <w:pPr>
        <w:pStyle w:val="Heading1"/>
      </w:pPr>
      <w:r>
        <w:t xml:space="preserve">Sales Report: Political Engagement and Voter Connection Strategy for Peru Lima (Q3 2023)</w:t>
      </w:r>
    </w:p>
    <w:bookmarkStart w:id="20" w:name="executive-summary"/>
    <w:p>
      <w:pPr>
        <w:pStyle w:val="Heading2"/>
      </w:pPr>
      <w:r>
        <w:t xml:space="preserve">Executive Summary</w:t>
      </w:r>
    </w:p>
    <w:p>
      <w:pPr>
        <w:pStyle w:val="FirstParagraph"/>
      </w:pPr>
      <w:r>
        <w:t xml:space="preserve">This comprehensive Sales Report details the political engagement metrics, voter connection strategies, and community impact initiatives implemented by Candidate Maria López during her campaign for the Lima Metropolitan Council. Unlike traditional sales transactions, this report quantifies democratic engagement through voter interaction rates, policy alignment surveys, and community partnership conversions within the unique socio-political landscape of Peru Lima. The data confirms a 37% increase in constituent interaction compared to previous election cycles, demonstrating effective political "sales" through trust-building rather than transactional exchanges. All metrics are contextualized within Peru's current political environment and Lima's urban dynamics.</w:t>
      </w:r>
    </w:p>
    <w:bookmarkEnd w:id="20"/>
    <w:bookmarkStart w:id="21" w:name="X9fd9ca914ee2543226226f445d681fd2f71d680"/>
    <w:p>
      <w:pPr>
        <w:pStyle w:val="Heading2"/>
      </w:pPr>
      <w:r>
        <w:t xml:space="preserve">Market Analysis: The Peruvian Political Landscape in Lima</w:t>
      </w:r>
    </w:p>
    <w:p>
      <w:pPr>
        <w:pStyle w:val="FirstParagraph"/>
      </w:pPr>
      <w:r>
        <w:t xml:space="preserve">Peru Lima presents a complex sales territory characterized by high voter awareness (89% of residents follow political news per INEI 2023) but deep distrust in traditional politicians (68% view elected officials as corrupt). This Sales Report identifies three critical segments requiring tailored engagement:</w:t>
      </w:r>
    </w:p>
    <w:p>
      <w:pPr>
        <w:numPr>
          <w:ilvl w:val="0"/>
          <w:numId w:val="1001"/>
        </w:numPr>
        <w:pStyle w:val="Compact"/>
      </w:pPr>
      <w:r>
        <w:rPr>
          <w:bCs/>
          <w:b/>
        </w:rPr>
        <w:t xml:space="preserve">Urban Youth (18-35):</w:t>
      </w:r>
      <w:r>
        <w:t xml:space="preserve"> </w:t>
      </w:r>
      <w:r>
        <w:t xml:space="preserve">Prioritizes digital access and anti-corruption policies. 72% of Lima's youth participate in social media political discussions, making online engagement a primary "sales channel."</w:t>
      </w:r>
    </w:p>
    <w:p>
      <w:pPr>
        <w:numPr>
          <w:ilvl w:val="0"/>
          <w:numId w:val="1001"/>
        </w:numPr>
        <w:pStyle w:val="Compact"/>
      </w:pPr>
      <w:r>
        <w:rPr>
          <w:bCs/>
          <w:b/>
        </w:rPr>
        <w:t xml:space="preserve">Informal Sector Workers:</w:t>
      </w:r>
      <w:r>
        <w:t xml:space="preserve"> </w:t>
      </w:r>
      <w:r>
        <w:t xml:space="preserve">Over 54% of Lima residents work in informal economies. Solutions addressing street vendor rights and tax relief drove 42% higher turnout at community workshops.</w:t>
      </w:r>
    </w:p>
    <w:p>
      <w:pPr>
        <w:numPr>
          <w:ilvl w:val="0"/>
          <w:numId w:val="1001"/>
        </w:numPr>
        <w:pStyle w:val="Compact"/>
      </w:pPr>
      <w:r>
        <w:rPr>
          <w:bCs/>
          <w:b/>
        </w:rPr>
        <w:t xml:space="preserve">Senior Citizens (60+):</w:t>
      </w:r>
      <w:r>
        <w:t xml:space="preserve"> </w:t>
      </w:r>
      <w:r>
        <w:t xml:space="preserve">Value personal interaction. In-person "coffee with candidates" events in Miraflores and Surco generated 28% higher trust scores than digital-only outreach.</w:t>
      </w:r>
    </w:p>
    <w:p>
      <w:pPr>
        <w:pStyle w:val="FirstParagraph"/>
      </w:pPr>
      <w:r>
        <w:t xml:space="preserve">The political "product" here isn't a commodity but a promise of governance—requiring nuanced sales techniques adapted to Lima's cultural fabric where community bonds ("comunidad") outweigh transactional relationships.</w:t>
      </w:r>
    </w:p>
    <w:bookmarkEnd w:id="21"/>
    <w:bookmarkStart w:id="25" w:name="Xeba279863506520eb5224ff4113feeeaf16138b"/>
    <w:p>
      <w:pPr>
        <w:pStyle w:val="Heading2"/>
      </w:pPr>
      <w:r>
        <w:t xml:space="preserve">Strategy Review: Political "Sales" Performance Metrics</w:t>
      </w:r>
    </w:p>
    <w:p>
      <w:pPr>
        <w:pStyle w:val="FirstParagraph"/>
      </w:pPr>
      <w:r>
        <w:t xml:space="preserve">Candidate López implemented an integrated engagement strategy with measurable outcomes:</w:t>
      </w:r>
    </w:p>
    <w:bookmarkStart w:id="22" w:name="X52e0ce25990080fc50c62fa27ef2a83728e9e22"/>
    <w:p>
      <w:pPr>
        <w:pStyle w:val="Heading3"/>
      </w:pPr>
      <w:r>
        <w:t xml:space="preserve">1. Digital Engagement Conversions (Online "Product Demands")</w:t>
      </w:r>
    </w:p>
    <w:p>
      <w:pPr>
        <w:pStyle w:val="FirstParagraph"/>
      </w:pPr>
      <w:r>
        <w:t xml:space="preserve">A dedicated app and WhatsApp campaign captured 12,400 verified voter profiles. Key metrics include:</w:t>
      </w:r>
      <w:r>
        <w:t xml:space="preserve"> </w:t>
      </w:r>
      <w:r>
        <w:t xml:space="preserve">• 87% message open rate (vs. Lima's average of 62%)</w:t>
      </w:r>
      <w:r>
        <w:t xml:space="preserve"> </w:t>
      </w:r>
      <w:r>
        <w:t xml:space="preserve">• 53% "policy interest" conversion rate (e.g., users requesting detailed budget proposals)</w:t>
      </w:r>
      <w:r>
        <w:t xml:space="preserve"> </w:t>
      </w:r>
      <w:r>
        <w:t xml:space="preserve">• Top-requested issue: Public transportation reform (41% of digital interactions)</w:t>
      </w:r>
    </w:p>
    <w:bookmarkEnd w:id="22"/>
    <w:bookmarkStart w:id="23" w:name="community-outreach-sales-volume"/>
    <w:p>
      <w:pPr>
        <w:pStyle w:val="Heading3"/>
      </w:pPr>
      <w:r>
        <w:t xml:space="preserve">2. Community Outreach "Sales Volume"</w:t>
      </w:r>
    </w:p>
    <w:p>
      <w:pPr>
        <w:pStyle w:val="FirstParagraph"/>
      </w:pPr>
      <w:r>
        <w:t xml:space="preserve">Field teams conducted 275 community forums across Lima's 43 districts, with district-specific sales targets:</w:t>
      </w:r>
      <w:r>
        <w:t xml:space="preserve"> </w:t>
      </w:r>
      <w:r>
        <w:t xml:space="preserve">• Surco: Focused on school infrastructure; achieved 91% parent attendance at town halls</w:t>
      </w:r>
      <w:r>
        <w:t xml:space="preserve"> </w:t>
      </w:r>
      <w:r>
        <w:t xml:space="preserve">• Comas: Addressed waste management; generated 68% resident participation in solution co-creation</w:t>
      </w:r>
      <w:r>
        <w:t xml:space="preserve"> </w:t>
      </w:r>
      <w:r>
        <w:t xml:space="preserve">• San Isidro: Targeted business owners for economic policies; secured 32 signed partnership letters</w:t>
      </w:r>
    </w:p>
    <w:bookmarkEnd w:id="23"/>
    <w:bookmarkStart w:id="24" w:name="policy-alignment-customer-satisfaction"/>
    <w:p>
      <w:pPr>
        <w:pStyle w:val="Heading3"/>
      </w:pPr>
      <w:r>
        <w:t xml:space="preserve">3. Policy Alignment "Customer Satisfaction"</w:t>
      </w:r>
    </w:p>
    <w:p>
      <w:pPr>
        <w:pStyle w:val="FirstParagraph"/>
      </w:pPr>
      <w:r>
        <w:t xml:space="preserve">Post-event surveys measured political "product fit":</w:t>
      </w:r>
      <w:r>
        <w:t xml:space="preserve"> </w:t>
      </w:r>
      <w:r>
        <w:t xml:space="preserve">• 76% of respondents felt Candidate López's platform aligned with their needs (vs. 48% for opponents)</w:t>
      </w:r>
      <w:r>
        <w:t xml:space="preserve"> </w:t>
      </w:r>
      <w:r>
        <w:t xml:space="preserve">• Key differentiator: Transparent budgeting tools showing how proposed policies would use municipal funds</w:t>
      </w:r>
      <w:r>
        <w:t xml:space="preserve"> </w:t>
      </w:r>
      <w:r>
        <w:t xml:space="preserve">• Critical gap identified: Only 39% of voters understood campaign finance disclosures (requiring improved "sales documentation")</w:t>
      </w:r>
    </w:p>
    <w:bookmarkEnd w:id="24"/>
    <w:bookmarkEnd w:id="25"/>
    <w:bookmarkStart w:id="26" w:name="Xaa54c5fafc17bc275876ac6fc040b6a1d877fb9"/>
    <w:p>
      <w:pPr>
        <w:pStyle w:val="Heading2"/>
      </w:pPr>
      <w:r>
        <w:t xml:space="preserve">Peru Lima-Specific Challenges &amp; Adaptive Strategies</w:t>
      </w:r>
    </w:p>
    <w:p>
      <w:pPr>
        <w:pStyle w:val="FirstParagraph"/>
      </w:pPr>
      <w:r>
        <w:t xml:space="preserve">The unique challenges of operating in Peru Lima demanded innovative solutions:</w:t>
      </w:r>
    </w:p>
    <w:p>
      <w:pPr>
        <w:numPr>
          <w:ilvl w:val="0"/>
          <w:numId w:val="1002"/>
        </w:numPr>
        <w:pStyle w:val="Compact"/>
      </w:pPr>
      <w:r>
        <w:rPr>
          <w:bCs/>
          <w:b/>
        </w:rPr>
        <w:t xml:space="preserve">Corruption Perception Barrier:</w:t>
      </w:r>
      <w:r>
        <w:t xml:space="preserve"> </w:t>
      </w:r>
      <w:r>
        <w:t xml:space="preserve">63% of Liman citizens distrust political promises. Solution: Public "commitment tracker" dashboard showing real-time progress on campaign pledges (e.g., "12 new bus routes planned in Chosica by Q2 2024").</w:t>
      </w:r>
    </w:p>
    <w:p>
      <w:pPr>
        <w:numPr>
          <w:ilvl w:val="0"/>
          <w:numId w:val="1002"/>
        </w:numPr>
        <w:pStyle w:val="Compact"/>
      </w:pPr>
      <w:r>
        <w:rPr>
          <w:bCs/>
          <w:b/>
        </w:rPr>
        <w:t xml:space="preserve">Regional Disparities:</w:t>
      </w:r>
      <w:r>
        <w:t xml:space="preserve"> </w:t>
      </w:r>
      <w:r>
        <w:t xml:space="preserve">Coastal Lima districts show higher engagement than inland areas. Solution: Deployed mobile outreach units to Rimac and El Agustino, increasing rural turnout by 31%.</w:t>
      </w:r>
    </w:p>
    <w:p>
      <w:pPr>
        <w:numPr>
          <w:ilvl w:val="0"/>
          <w:numId w:val="1002"/>
        </w:numPr>
        <w:pStyle w:val="Compact"/>
      </w:pPr>
      <w:r>
        <w:rPr>
          <w:bCs/>
          <w:b/>
        </w:rPr>
        <w:t xml:space="preserve">Cultural Nuance:</w:t>
      </w:r>
      <w:r>
        <w:t xml:space="preserve"> </w:t>
      </w:r>
      <w:r>
        <w:t xml:space="preserve">Traditional "callejón" (neighborhood) loyalty requires localized messaging. Adaptation: Partnered with local *comparsas* (community groups) for culturally resonant town halls in Barranco and La Victoria.</w:t>
      </w:r>
    </w:p>
    <w:bookmarkEnd w:id="26"/>
    <w:bookmarkStart w:id="27" w:name="quantifiable-outcomes-vs.-sales-targets"/>
    <w:p>
      <w:pPr>
        <w:pStyle w:val="Heading2"/>
      </w:pPr>
      <w:r>
        <w:t xml:space="preserve">Quantifiable Outcomes vs. Sales Targets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Target (Q3 2023)</w:t>
            </w:r>
          </w:p>
        </w:tc>
        <w:tc>
          <w:tcPr/>
          <w:p>
            <w:pPr>
              <w:pStyle w:val="Compact"/>
              <w:jc w:val="left"/>
            </w:pPr>
            <w:r>
              <w:t xml:space="preserve">Actual Result</w:t>
            </w:r>
          </w:p>
        </w:tc>
        <w:tc>
          <w:tcPr/>
          <w:p>
            <w:pPr>
              <w:pStyle w:val="Compact"/>
              <w:jc w:val="left"/>
            </w:pPr>
            <w:r>
              <w:t xml:space="preserve">Variance (% Increase)</w:t>
            </w:r>
          </w:p>
        </w:tc>
      </w:tr>
      <w:tr>
        <w:tc>
          <w:tcPr/>
          <w:p>
            <w:pPr>
              <w:pStyle w:val="Compact"/>
              <w:jc w:val="left"/>
            </w:pPr>
            <w:r>
              <w:t xml:space="preserve">Voter Interaction Rate (Lima Urban)</w:t>
            </w:r>
          </w:p>
        </w:tc>
        <w:tc>
          <w:tcPr/>
          <w:p>
            <w:pPr>
              <w:pStyle w:val="Compact"/>
              <w:jc w:val="left"/>
            </w:pPr>
            <w:r>
              <w:t xml:space="preserve">28%</w:t>
            </w:r>
          </w:p>
        </w:tc>
        <w:tc>
          <w:tcPr/>
          <w:p>
            <w:pPr>
              <w:pStyle w:val="Compact"/>
              <w:jc w:val="left"/>
            </w:pPr>
            <w:r>
              <w:t xml:space="preserve">40.7%</w:t>
            </w:r>
          </w:p>
        </w:tc>
        <w:tc>
          <w:tcPr/>
          <w:p>
            <w:pPr>
              <w:pStyle w:val="Compact"/>
              <w:jc w:val="left"/>
            </w:pPr>
            <w:r>
              <w:t xml:space="preserve">+45.3%</w:t>
            </w:r>
          </w:p>
        </w:tc>
      </w:tr>
      <w:tr>
        <w:tc>
          <w:tcPr/>
          <w:p>
            <w:pPr>
              <w:pStyle w:val="Compact"/>
              <w:jc w:val="left"/>
            </w:pPr>
            <w:r>
              <w:t xml:space="preserve">Policy-Related Social Media Mentions</w:t>
            </w:r>
          </w:p>
        </w:tc>
        <w:tc>
          <w:tcPr/>
          <w:p>
            <w:pPr>
              <w:pStyle w:val="Compact"/>
              <w:jc w:val="left"/>
            </w:pPr>
            <w:r>
              <w:t xml:space="preserve">1,500/week</w:t>
            </w:r>
          </w:p>
        </w:tc>
        <w:tc>
          <w:tcPr/>
          <w:p>
            <w:pPr>
              <w:pStyle w:val="Compact"/>
              <w:jc w:val="left"/>
            </w:pPr>
            <w:r>
              <w:t xml:space="preserve">2,896/week</w:t>
            </w:r>
          </w:p>
        </w:tc>
        <w:tc>
          <w:tcPr/>
          <w:p>
            <w:pPr>
              <w:pStyle w:val="Compact"/>
              <w:jc w:val="left"/>
            </w:pPr>
            <w:r>
              <w:t xml:space="preserve">+93.1%</w:t>
            </w:r>
          </w:p>
        </w:tc>
      </w:tr>
      <w:tr>
        <w:tc>
          <w:tcPr/>
          <w:p>
            <w:pPr>
              <w:pStyle w:val="Compact"/>
              <w:jc w:val="left"/>
            </w:pPr>
            <w:r>
              <w:t xml:space="preserve">Community Workshop Attendance (Per District)</w:t>
            </w:r>
          </w:p>
        </w:tc>
        <w:tc>
          <w:tcPr/>
          <w:p>
            <w:pPr>
              <w:pStyle w:val="Compact"/>
              <w:jc w:val="left"/>
            </w:pPr>
            <w:r>
              <w:t xml:space="preserve">75% capacity</w:t>
            </w:r>
          </w:p>
        </w:tc>
        <w:tc>
          <w:tcPr/>
          <w:p>
            <w:pPr>
              <w:pStyle w:val="Compact"/>
              <w:jc w:val="left"/>
            </w:pPr>
            <w:r>
              <w:t xml:space="preserve">89.4% capacity</w:t>
            </w:r>
          </w:p>
        </w:tc>
        <w:tc>
          <w:tcPr/>
          <w:p>
            <w:pPr>
              <w:pStyle w:val="Compact"/>
              <w:jc w:val="left"/>
            </w:pPr>
            <w:r>
              <w:t xml:space="preserve">+19.2%</w:t>
            </w:r>
          </w:p>
        </w:tc>
      </w:tr>
    </w:tbl>
    <w:bookmarkEnd w:id="27"/>
    <w:bookmarkStart w:id="28" w:name="Xc5e0ee56792d3603f9b292680cd22f42b9732d0"/>
    <w:p>
      <w:pPr>
        <w:pStyle w:val="Heading2"/>
      </w:pPr>
      <w:r>
        <w:t xml:space="preserve">Recommendations for Future Political "Sales" Cycles</w:t>
      </w:r>
    </w:p>
    <w:p>
      <w:pPr>
        <w:pStyle w:val="FirstParagraph"/>
      </w:pPr>
      <w:r>
        <w:t xml:space="preserve">This Sales Report concludes that effective political engagement in Peru Lima requires moving beyond generic campaigning:</w:t>
      </w:r>
    </w:p>
    <w:p>
      <w:pPr>
        <w:numPr>
          <w:ilvl w:val="0"/>
          <w:numId w:val="1003"/>
        </w:numPr>
        <w:pStyle w:val="Compact"/>
      </w:pPr>
      <w:r>
        <w:rPr>
          <w:bCs/>
          <w:b/>
        </w:rPr>
        <w:t xml:space="preserve">Hyper-Local "Product Customization":</w:t>
      </w:r>
      <w:r>
        <w:t xml:space="preserve"> </w:t>
      </w:r>
      <w:r>
        <w:t xml:space="preserve">Develop district-specific policy briefs (e.g., coastal vs. mountain districts) as seen in successful Comas waste management rollout.</w:t>
      </w:r>
    </w:p>
    <w:p>
      <w:pPr>
        <w:numPr>
          <w:ilvl w:val="0"/>
          <w:numId w:val="1003"/>
        </w:numPr>
        <w:pStyle w:val="Compact"/>
      </w:pPr>
      <w:r>
        <w:rPr>
          <w:bCs/>
          <w:b/>
        </w:rPr>
        <w:t xml:space="preserve">Transparency as Core "Product Feature":</w:t>
      </w:r>
      <w:r>
        <w:t xml:space="preserve"> </w:t>
      </w:r>
      <w:r>
        <w:t xml:space="preserve">Implement real-time public budget trackers for all campaign promises to combat Peru's corruption narrative.</w:t>
      </w:r>
    </w:p>
    <w:p>
      <w:pPr>
        <w:numPr>
          <w:ilvl w:val="0"/>
          <w:numId w:val="1003"/>
        </w:numPr>
        <w:pStyle w:val="Compact"/>
      </w:pPr>
      <w:r>
        <w:rPr>
          <w:bCs/>
          <w:b/>
        </w:rPr>
        <w:t xml:space="preserve">Leverage Lima's Cultural Assets:</w:t>
      </w:r>
      <w:r>
        <w:t xml:space="preserve"> </w:t>
      </w:r>
      <w:r>
        <w:t xml:space="preserve">Partner with renowned Peruvian institutions like the National University of San Marcos for credibility-building events.</w:t>
      </w:r>
    </w:p>
    <w:p>
      <w:pPr>
        <w:numPr>
          <w:ilvl w:val="0"/>
          <w:numId w:val="1003"/>
        </w:numPr>
        <w:pStyle w:val="Compact"/>
      </w:pPr>
      <w:r>
        <w:rPr>
          <w:bCs/>
          <w:b/>
        </w:rPr>
        <w:t xml:space="preserve">Sustainability Over Short-Term "Sales":</w:t>
      </w:r>
      <w:r>
        <w:t xml:space="preserve"> </w:t>
      </w:r>
      <w:r>
        <w:t xml:space="preserve">Focus on community capacity building (e.g., training youth in policy advocacy) rather than one-time voter acquisition.</w:t>
      </w:r>
    </w:p>
    <w:bookmarkEnd w:id="28"/>
    <w:bookmarkStart w:id="29" w:name="conclusion-the-ethics-of-political-sales"/>
    <w:p>
      <w:pPr>
        <w:pStyle w:val="Heading2"/>
      </w:pPr>
      <w:r>
        <w:t xml:space="preserve">Conclusion: The Ethics of Political Sales</w:t>
      </w:r>
    </w:p>
    <w:p>
      <w:pPr>
        <w:pStyle w:val="FirstParagraph"/>
      </w:pPr>
      <w:r>
        <w:t xml:space="preserve">This Sales Report underscores a fundamental truth: In Peru Lima, political "sales" must be rooted in democratic integrity, not manipulation. Candidate López's success stems from treating voters as partners—not customers—and aligning her platform with Lima's urgent needs (transportation, job creation, anti-corruption). The 37% engagement surge isn't about selling a politician; it's about building a shared vision for Peru Lima that resonates through authentic connection. As the electoral landscape evolves post-2021 congressional elections, this model proves that ethical political "sales" yield sustainable community transformation, not temporary votes. Future campaigns must prioritize trust-building over transactional tactics to succeed in Peru's most dynamic city.</w:t>
      </w:r>
    </w:p>
    <w:p>
      <w:pPr>
        <w:pStyle w:val="BodyText"/>
      </w:pPr>
      <w:r>
        <w:rPr>
          <w:iCs/>
          <w:i/>
        </w:rPr>
        <w:t xml:space="preserve">Prepared by Lima Democracy Analytics (LDA) | October 26, 2023 | Confidential: Peruvian Electoral Authority Data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Peru Lima Sales Report: Political Engagement Metrics</dc:title>
  <dc:creator/>
  <dc:language>en</dc:language>
  <cp:keywords/>
  <dcterms:created xsi:type="dcterms:W3CDTF">2026-07-21T15:24:18Z</dcterms:created>
  <dcterms:modified xsi:type="dcterms:W3CDTF">2026-07-21T15:24:18Z</dcterms:modified>
</cp:coreProperties>
</file>

<file path=docProps/custom.xml><?xml version="1.0" encoding="utf-8"?>
<Properties xmlns="http://schemas.openxmlformats.org/officeDocument/2006/custom-properties" xmlns:vt="http://schemas.openxmlformats.org/officeDocument/2006/docPropsVTypes"/>
</file>