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Political</w:t>
      </w:r>
      <w:r>
        <w:t xml:space="preserve"> </w:t>
      </w:r>
      <w:r>
        <w:t xml:space="preserve">Campaign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Manila,</w:t>
      </w:r>
      <w:r>
        <w:t xml:space="preserve"> </w:t>
      </w:r>
      <w:r>
        <w:t xml:space="preserve">Philippines</w:t>
      </w:r>
    </w:p>
    <w:bookmarkStart w:id="29" w:name="X243c4dde782b375b36629345b9687f6a612f43c"/>
    <w:p>
      <w:pPr>
        <w:pStyle w:val="Heading1"/>
      </w:pPr>
      <w:r>
        <w:t xml:space="preserve">Official Political Campaign Sales Performance Report: Metropolitan Manila, Philippines</w:t>
      </w:r>
    </w:p>
    <w:bookmarkStart w:id="28" w:name="prepared-for-honorable-politicians-name"/>
    <w:p>
      <w:pPr>
        <w:pStyle w:val="Heading2"/>
      </w:pPr>
      <w:r>
        <w:t xml:space="preserve">Prepared For: Honorable [Politician's Name]</w:t>
      </w:r>
    </w:p>
    <w:p>
      <w:pPr>
        <w:pStyle w:val="FirstParagraph"/>
      </w:pPr>
      <w:r>
        <w:t xml:space="preserve">Date: October 26, 2023 | Prepared By: National Political Strategy Division</w:t>
      </w:r>
    </w:p>
    <w:bookmarkStart w:id="20" w:name="i.-executive-summary"/>
    <w:p>
      <w:pPr>
        <w:pStyle w:val="Heading3"/>
      </w:pPr>
      <w:r>
        <w:t xml:space="preserve">I. Executive Summary</w:t>
      </w:r>
    </w:p>
    <w:p>
      <w:pPr>
        <w:pStyle w:val="FirstParagraph"/>
      </w:pPr>
      <w:r>
        <w:t xml:space="preserve">This comprehensive sales performance report details the electoral outreach, resource allocation, and voter acquisition metrics for Honorable [Politician's Name]'s campaign across all 16 districts of Manila. The data demonstrates a 24.7% growth in committed voter support since the campaign launch on July 15, 2023, with particularly strong performance in Quezon City (38% engagement) and San Juan (32%). These results position our candidate for significant electoral success in the upcoming May 2024 National Elections. The report analyzes all critical sales channels – including grassroots canvassing, digital outreach, community engagement events, and coalition partnerships – with specific focus on Manila's unique socio-economic landscape.</w:t>
      </w:r>
    </w:p>
    <w:bookmarkEnd w:id="20"/>
    <w:bookmarkStart w:id="21" w:name="X642eb72d62b411bace87553a5a1878a71ebd39e"/>
    <w:p>
      <w:pPr>
        <w:pStyle w:val="Heading3"/>
      </w:pPr>
      <w:r>
        <w:t xml:space="preserve">II. Methodology: Measuring Political "Sales" in Manila</w:t>
      </w:r>
    </w:p>
    <w:p>
      <w:pPr>
        <w:pStyle w:val="FirstParagraph"/>
      </w:pPr>
      <w:r>
        <w:t xml:space="preserve">Unlike traditional commercial sales, political "sales" in the Philippines are measured through voter commitment metrics using the following validated indicators: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Voter Commitment Rate (VCR):</w:t>
      </w:r>
      <w:r>
        <w:t xml:space="preserve"> </w:t>
      </w:r>
      <w:r>
        <w:t xml:space="preserve">% of identified voters who provide signed pledge cards or verified digital commitments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Coalition Partnership Value (CPV):</w:t>
      </w:r>
      <w:r>
        <w:t xml:space="preserve"> </w:t>
      </w:r>
      <w:r>
        <w:t xml:space="preserve">Monetary and logistical value of local business/organization endorsements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Event Attendance:</w:t>
      </w:r>
      <w:r>
        <w:t xml:space="preserve"> </w:t>
      </w:r>
      <w:r>
        <w:t xml:space="preserve">Verified turnout at town halls, barangay assemblies, and public forums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Social Media Sentiment Index (SSI):</w:t>
      </w:r>
      <w:r>
        <w:t xml:space="preserve"> </w:t>
      </w:r>
      <w:r>
        <w:t xml:space="preserve">Positive engagement rate on Facebook, Twitter/X, and TikTok among Manila demographics</w:t>
      </w:r>
    </w:p>
    <w:bookmarkEnd w:id="21"/>
    <w:bookmarkStart w:id="22" w:name="Xb033c4b8b7100b2b3ad84fb6934e0bd57468bc0"/>
    <w:p>
      <w:pPr>
        <w:pStyle w:val="Heading3"/>
      </w:pPr>
      <w:r>
        <w:t xml:space="preserve">III. Manila District Sales Performance Breakdown (Q3 2023)</w:t>
      </w:r>
    </w:p>
    <w:p>
      <w:pPr>
        <w:pStyle w:val="FirstParagraph"/>
      </w:pPr>
      <w:r>
        <w:t xml:space="preserve">District</w:t>
      </w:r>
    </w:p>
    <w:p>
      <w:pPr>
        <w:pStyle w:val="BodyText"/>
      </w:pPr>
      <w:r>
        <w:t xml:space="preserve">VCR Growth (%)</w:t>
      </w:r>
    </w:p>
    <w:p>
      <w:pPr>
        <w:pStyle w:val="BodyText"/>
      </w:pPr>
      <w:r>
        <w:t xml:space="preserve">CPV Generated (PHP)</w:t>
      </w:r>
    </w:p>
    <w:p>
      <w:pPr>
        <w:pStyle w:val="BodyText"/>
      </w:pPr>
      <w:r>
        <w:t xml:space="preserve">Key Community Events</w:t>
      </w:r>
    </w:p>
    <w:p>
      <w:pPr>
        <w:pStyle w:val="BodyText"/>
      </w:pPr>
      <w:r>
        <w:t xml:space="preserve">Quezon City (District 1)</w:t>
      </w:r>
    </w:p>
    <w:p>
      <w:pPr>
        <w:pStyle w:val="BodyText"/>
      </w:pPr>
      <w:r>
        <w:t xml:space="preserve">+38.2%</w:t>
      </w:r>
    </w:p>
    <w:p>
      <w:pPr>
        <w:pStyle w:val="BodyText"/>
      </w:pPr>
      <w:r>
        <w:t xml:space="preserve">₱4.2M</w:t>
      </w:r>
    </w:p>
    <w:p>
      <w:pPr>
        <w:pStyle w:val="BodyText"/>
      </w:pPr>
      <w:r>
        <w:t xml:space="preserve">"Barangay Bantay-Kalusugan" health drives (17 events, 5,800 attendees)</w:t>
      </w:r>
    </w:p>
    <w:p>
      <w:pPr>
        <w:pStyle w:val="BodyText"/>
      </w:pPr>
      <w:r>
        <w:t xml:space="preserve">San Juan (District 2)</w:t>
      </w:r>
    </w:p>
    <w:p>
      <w:pPr>
        <w:pStyle w:val="BodyText"/>
      </w:pPr>
      <w:r>
        <w:t xml:space="preserve">+32.7%</w:t>
      </w:r>
    </w:p>
    <w:p>
      <w:pPr>
        <w:pStyle w:val="BodyText"/>
      </w:pPr>
      <w:r>
        <w:t xml:space="preserve">₱3.1M</w:t>
      </w:r>
    </w:p>
    <w:p>
      <w:pPr>
        <w:pStyle w:val="BodyText"/>
      </w:pPr>
      <w:r>
        <w:t xml:space="preserve">"Youth for Change" workshops (12 events, 4,200 youth participants)</w:t>
      </w:r>
    </w:p>
    <w:p>
      <w:pPr>
        <w:pStyle w:val="BodyText"/>
      </w:pPr>
      <w:r>
        <w:t xml:space="preserve">Mandaluyong (District 3)</w:t>
      </w:r>
    </w:p>
    <w:p>
      <w:pPr>
        <w:pStyle w:val="BodyText"/>
      </w:pPr>
      <w:r>
        <w:t xml:space="preserve">+28.9%</w:t>
      </w:r>
    </w:p>
    <w:p>
      <w:pPr>
        <w:pStyle w:val="BodyText"/>
      </w:pPr>
      <w:r>
        <w:t xml:space="preserve">₱2.7M</w:t>
      </w:r>
    </w:p>
    <w:p>
      <w:pPr>
        <w:pStyle w:val="BodyText"/>
      </w:pPr>
      <w:r>
        <w:t xml:space="preserve">"Sari-Sari Store Alliance" networking sessions (9 events, 1,800 micro-entrepreneurs)</w:t>
      </w:r>
    </w:p>
    <w:p>
      <w:pPr>
        <w:pStyle w:val="BodyText"/>
      </w:pPr>
      <w:r>
        <w:t xml:space="preserve">Manila City Proper</w:t>
      </w:r>
    </w:p>
    <w:p>
      <w:pPr>
        <w:pStyle w:val="BodyText"/>
      </w:pPr>
      <w:r>
        <w:t xml:space="preserve">+24.3%</w:t>
      </w:r>
    </w:p>
    <w:p>
      <w:pPr>
        <w:pStyle w:val="BodyText"/>
      </w:pPr>
      <w:r>
        <w:t xml:space="preserve">₱1.9M</w:t>
      </w:r>
    </w:p>
    <w:p>
      <w:pPr>
        <w:pStyle w:val="BodyText"/>
      </w:pPr>
      <w:r>
        <w:t xml:space="preserve">"Tricycle Driver Empowerment" forum (8 events, 3,500 drivers)</w:t>
      </w:r>
    </w:p>
    <w:p>
      <w:pPr>
        <w:pStyle w:val="BodyText"/>
      </w:pPr>
      <w:r>
        <w:t xml:space="preserve">Caloocan (District 6)</w:t>
      </w:r>
    </w:p>
    <w:p>
      <w:pPr>
        <w:pStyle w:val="BodyText"/>
      </w:pPr>
      <w:r>
        <w:t xml:space="preserve">+21.5%</w:t>
      </w:r>
    </w:p>
    <w:p>
      <w:pPr>
        <w:pStyle w:val="BodyText"/>
      </w:pPr>
      <w:r>
        <w:br/>
      </w:r>
    </w:p>
    <w:bookmarkEnd w:id="22"/>
    <w:bookmarkStart w:id="23" w:name="X9d421686280ae4d768813afb2f9d8196adbea08"/>
    <w:p>
      <w:pPr>
        <w:pStyle w:val="Heading3"/>
      </w:pPr>
      <w:r>
        <w:t xml:space="preserve">IV. Critical Success Factors in Manila's Political Market</w:t>
      </w:r>
    </w:p>
    <w:p>
      <w:pPr>
        <w:pStyle w:val="FirstParagraph"/>
      </w:pPr>
      <w:r>
        <w:rPr>
          <w:bCs/>
          <w:b/>
        </w:rPr>
        <w:t xml:space="preserve">A. Hyper-Localized Campaign Approach:</w:t>
      </w:r>
      <w:r>
        <w:t xml:space="preserve"> </w:t>
      </w:r>
      <w:r>
        <w:t xml:space="preserve">Our campaign excelled by tailoring messaging to Manila's distinct district identities – e.g., emphasizing flood mitigation in Marikina River districts, and job creation for the 45% youth population in Quezon City. This localized "sales pitch" increased VCR by 37% compared to generic campaigns.</w:t>
      </w:r>
    </w:p>
    <w:p>
      <w:pPr>
        <w:pStyle w:val="BodyText"/>
      </w:pPr>
      <w:r>
        <w:rPr>
          <w:bCs/>
          <w:b/>
        </w:rPr>
        <w:t xml:space="preserve">B. Digital Sales Channel Dominance:</w:t>
      </w:r>
      <w:r>
        <w:t xml:space="preserve"> </w:t>
      </w:r>
      <w:r>
        <w:t xml:space="preserve">Manila's digital penetration rate (82%) made social media our most efficient sales channel. The campaign achieved 14,000+ verified digital commitments through targeted Facebook ads and TikTok town halls featuring local influencers. This represents a 67% cost-per-commitment reduction versus traditional canvassing.</w:t>
      </w:r>
    </w:p>
    <w:p>
      <w:pPr>
        <w:pStyle w:val="BodyText"/>
      </w:pPr>
      <w:r>
        <w:rPr>
          <w:bCs/>
          <w:b/>
        </w:rPr>
        <w:t xml:space="preserve">C. Strategic Coalition Building:</w:t>
      </w:r>
      <w:r>
        <w:t xml:space="preserve"> </w:t>
      </w:r>
      <w:r>
        <w:t xml:space="preserve">Partnership with the Manila City Chamber of Commerce generated ₱4.2M in in-kind support (event venues, printing services), while alliance with the Metropolitan Manila Development Authority (MMDA) provided critical logistics for 17 district-level events – a direct revenue stream for our "sales operations."</w:t>
      </w:r>
    </w:p>
    <w:bookmarkEnd w:id="23"/>
    <w:bookmarkStart w:id="24" w:name="v.-challenges-and-tactical-adjustments"/>
    <w:p>
      <w:pPr>
        <w:pStyle w:val="Heading3"/>
      </w:pPr>
      <w:r>
        <w:t xml:space="preserve">V. Challenges and Tactical Adjustments</w:t>
      </w:r>
    </w:p>
    <w:p>
      <w:pPr>
        <w:pStyle w:val="FirstParagraph"/>
      </w:pPr>
      <w:r>
        <w:t xml:space="preserve">While Manila showed strong performance, two challenges required immediate sales strategy pivots: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 Competition in East Manila:</w:t>
      </w:r>
      <w:r>
        <w:t xml:space="preserve"> </w:t>
      </w:r>
      <w:r>
        <w:t xml:space="preserve">In areas like Pasay and Parañaque, rival campaigns achieved 22% higher turnout at community events. Our solution: Deployed "neighborhood ambassador" teams (150 volunteers) for door-to-door commitment drives focused on maternal health programs – resulting in a 31% VCR recovery within two weeks.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Social Media Misinformation:</w:t>
      </w:r>
      <w:r>
        <w:t xml:space="preserve"> </w:t>
      </w:r>
      <w:r>
        <w:t xml:space="preserve">False claims about candidate policies generated negative SSI (-18%). Countermeasure: Launched "Fact-Check Manila" campaign with verified community leaders, reducing negative sentiment by 64% and increasing positive shares by 29%.</w:t>
      </w:r>
    </w:p>
    <w:bookmarkEnd w:id="24"/>
    <w:bookmarkStart w:id="25" w:name="Xcfe40e397eb6ff1feba331aa4ba4e45a85c4ae2"/>
    <w:p>
      <w:pPr>
        <w:pStyle w:val="Heading3"/>
      </w:pPr>
      <w:r>
        <w:t xml:space="preserve">VI. Financial Sales Performance (Manila Focus)</w:t>
      </w:r>
    </w:p>
    <w:p>
      <w:pPr>
        <w:pStyle w:val="FirstParagraph"/>
      </w:pPr>
      <w:r>
        <w:t xml:space="preserve">Our campaign generated ₱12.8M in direct resources through political "sales" channels: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Voter Commitment Revenue:</w:t>
      </w:r>
      <w:r>
        <w:t xml:space="preserve"> </w:t>
      </w:r>
      <w:r>
        <w:t xml:space="preserve">₱7.2M (from 14,500 verified pledges)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Campaign Coalition Value:</w:t>
      </w:r>
      <w:r>
        <w:t xml:space="preserve"> </w:t>
      </w:r>
      <w:r>
        <w:t xml:space="preserve">₱4.2M (in-kind business support)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Sales Conversion Rate:</w:t>
      </w:r>
      <w:r>
        <w:t xml:space="preserve"> </w:t>
      </w:r>
      <w:r>
        <w:t xml:space="preserve">18.3% (exceeding Manila benchmark of 12%)</w:t>
      </w:r>
    </w:p>
    <w:p>
      <w:pPr>
        <w:pStyle w:val="FirstParagraph"/>
      </w:pPr>
      <w:r>
        <w:t xml:space="preserve">This represents a 56% return on investment for Manila-focused expenditures, far exceeding the national average of 42%. Notably, every ₱1 spent on digital targeting generated ₱3.80 in committed voter value – a crucial metric for political "sales" efficiency.</w:t>
      </w:r>
    </w:p>
    <w:bookmarkEnd w:id="25"/>
    <w:bookmarkStart w:id="26" w:name="X45da57cbf97fa009e33d8c4eb2762f57f44c346"/>
    <w:p>
      <w:pPr>
        <w:pStyle w:val="Heading3"/>
      </w:pPr>
      <w:r>
        <w:t xml:space="preserve">VII. Strategic Recommendations for Manila Sales Acceleration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Scale Neighborhood Ambassador Program:</w:t>
      </w:r>
      <w:r>
        <w:t xml:space="preserve"> </w:t>
      </w:r>
      <w:r>
        <w:t xml:space="preserve">Expand to all 16 districts by November, targeting 500 additional volunteers to capture the 28% of Manila voters still uncommitted (per latest Pulse Asia data).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"Manila Promise" Digital Hub:</w:t>
      </w:r>
      <w:r>
        <w:t xml:space="preserve"> </w:t>
      </w:r>
      <w:r>
        <w:t xml:space="preserve">Create a dedicated campaign website for Manila with real-time VCR tracking and personalized commitment tools – expected to increase digital sales by 25%.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Secure Key Coalition Partnerships:</w:t>
      </w:r>
      <w:r>
        <w:t xml:space="preserve"> </w:t>
      </w:r>
      <w:r>
        <w:t xml:space="preserve">Prioritize formalizing alliances with the Philippine Medical Association (PMA) and Department of Education (DepEd) Manila offices for healthcare/education policy endorsements, projected to boost CPV by ₱3.5M.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Manila's Cultural Assets:</w:t>
      </w:r>
      <w:r>
        <w:t xml:space="preserve"> </w:t>
      </w:r>
      <w:r>
        <w:t xml:space="preserve">Partner with cultural groups like the National Living Heritage Foundation for "Manila Story" events – capitalizing on local pride to drive emotional voter commitment.</w:t>
      </w:r>
    </w:p>
    <w:bookmarkEnd w:id="26"/>
    <w:bookmarkStart w:id="27" w:name="X1fae9cbeddc6d21b03513d357b8f3db9edfac7e"/>
    <w:p>
      <w:pPr>
        <w:pStyle w:val="Heading3"/>
      </w:pPr>
      <w:r>
        <w:t xml:space="preserve">VIII. Conclusion: The Manila Political Sales Advantage</w:t>
      </w:r>
    </w:p>
    <w:p>
      <w:pPr>
        <w:pStyle w:val="FirstParagraph"/>
      </w:pPr>
      <w:r>
        <w:t xml:space="preserve">Honorable [Politician's Name]'s campaign has established a dominant market position in Manila through data-driven political sales strategies that align with the city's unique demographics and cultural fabric. Our current 24.7% VCR growth rate – outperforming all Manila competitors by 16 percentage points – demonstrates an effective electoral "product" for Manila voters. The key differentiator has been treating every barangay as a distinct sales territory requiring tailored engagement, rather than a single mass market.</w:t>
      </w:r>
    </w:p>
    <w:p>
      <w:pPr>
        <w:pStyle w:val="BodyText"/>
      </w:pPr>
      <w:r>
        <w:t xml:space="preserve">As we approach the final campaign phase, the data confirms that continued focus on Manila's 15M residents through these proven channels will secure decisive victory. Our next report will detail Phase 4 implementation for Metro Manila with specific district sales targets and resource allocation maps. The political sales engine in our nation's capital is now operating at peak efficiency – this is the foundation upon which we win the presidency.</w:t>
      </w:r>
    </w:p>
    <w:p>
      <w:pPr>
        <w:pStyle w:val="BodyText"/>
      </w:pPr>
      <w:r>
        <w:rPr>
          <w:bCs/>
          <w:b/>
        </w:rPr>
        <w:t xml:space="preserve">End of Report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Campaign Sales Performance Report: Manila, Philippines</dc:title>
  <dc:creator/>
  <dc:language>en</dc:language>
  <cp:keywords/>
  <dcterms:created xsi:type="dcterms:W3CDTF">2026-07-21T05:51:56Z</dcterms:created>
  <dcterms:modified xsi:type="dcterms:W3CDTF">2026-07-21T05:51:56Z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