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Political</w:t>
      </w:r>
      <w:r>
        <w:t xml:space="preserve"> </w:t>
      </w:r>
      <w:r>
        <w:t xml:space="preserve">Engagement</w:t>
      </w:r>
      <w:r>
        <w:t xml:space="preserve"> </w:t>
      </w:r>
      <w:r>
        <w:t xml:space="preserve">Initiative</w:t>
      </w:r>
    </w:p>
    <w:bookmarkStart w:id="31" w:name="Xa43d75ecc1cac52bde914a50fbf72ec2342878c"/>
    <w:p>
      <w:pPr>
        <w:pStyle w:val="Heading1"/>
      </w:pPr>
      <w:r>
        <w:t xml:space="preserve">SALES REPORT: POLITICAL ENGAGEMENT INITIATIVE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Qatar National Development Council</w:t>
      </w:r>
      <w:r>
        <w:br/>
      </w:r>
      <w:r>
        <w:rPr>
          <w:bCs/>
          <w:b/>
        </w:rPr>
        <w:t xml:space="preserve">Prepared By:</w:t>
      </w:r>
      <w:r>
        <w:t xml:space="preserve"> </w:t>
      </w:r>
      <w:r>
        <w:t xml:space="preserve">Doha Strategic Partners Marketing Division</w:t>
      </w:r>
    </w:p>
    <w:bookmarkStart w:id="20" w:name="executive-summary"/>
    <w:p>
      <w:pPr>
        <w:pStyle w:val="Heading2"/>
      </w:pPr>
      <w:r>
        <w:t xml:space="preserve">Executive Summary</w:t>
      </w:r>
    </w:p>
    <w:p>
      <w:pPr>
        <w:pStyle w:val="FirstParagraph"/>
      </w:pPr>
      <w:r>
        <w:t xml:space="preserve">This comprehensive Sales Report details the unprecedented political engagement initiative executed across Qatar Doha between July and September 2023. The campaign, spearheaded by a prominent national Politician, successfully transformed community outreach into measurable economic impact through strategic sales partnerships. This report demonstrates how political leadership in Qatar Doha can directly catalyze commercial growth while advancing national development goals. The initiative generated QR18.7 million in direct sales revenue and cultivated 42,000 new business relationships across key sectors including hospitality, construction, and sustainable technology.</w:t>
      </w:r>
    </w:p>
    <w:bookmarkEnd w:id="20"/>
    <w:bookmarkStart w:id="21" w:name="X74a63e2f4aa46fdec056bb584ab4a35821c4851"/>
    <w:p>
      <w:pPr>
        <w:pStyle w:val="Heading2"/>
      </w:pPr>
      <w:r>
        <w:t xml:space="preserve">Introduction: The Intersection of Politics and Sales in Qatar Doha</w:t>
      </w:r>
    </w:p>
    <w:p>
      <w:pPr>
        <w:pStyle w:val="FirstParagraph"/>
      </w:pPr>
      <w:r>
        <w:t xml:space="preserve">In the dynamic business landscape of Qatar Doha, traditional political engagement models have evolved to incorporate measurable commercial outcomes. This Sales Report documents a groundbreaking initiative where a nationally recognized Politician leveraged public office to drive economic development through structured sales strategies. The project, titled "Qatar Growth Nexus," was conceived as part of the national Vision 2030 framework and executed with unprecedented collaboration between government entities and private sector partners in Doha.</w:t>
      </w:r>
    </w:p>
    <w:p>
      <w:pPr>
        <w:pStyle w:val="BodyText"/>
      </w:pPr>
      <w:r>
        <w:t xml:space="preserve">The core innovation lies in transforming political influence into a scalable sales engine. Rather than traditional campaign rhetoric, this initiative established concrete sales KPIs: community participation metrics, business partnership commitments, and measurable economic output. The Politician's office directly engaged with 14 major Qatari enterprises to co-develop targeted sales programs addressing Doha's infrastructure development needs. This approach has set a new benchmark for political-economic synergy in the Gulf region.</w:t>
      </w:r>
    </w:p>
    <w:bookmarkEnd w:id="21"/>
    <w:bookmarkStart w:id="25" w:name="sales-performance-analysis"/>
    <w:p>
      <w:pPr>
        <w:pStyle w:val="Heading2"/>
      </w:pPr>
      <w:r>
        <w:t xml:space="preserve">Sales Performance Analysis</w:t>
      </w:r>
    </w:p>
    <w:bookmarkStart w:id="22" w:name="market-response-to-political-leadership"/>
    <w:p>
      <w:pPr>
        <w:pStyle w:val="Heading3"/>
      </w:pPr>
      <w:r>
        <w:t xml:space="preserve">Market Response to Political Leadership</w:t>
      </w:r>
    </w:p>
    <w:p>
      <w:pPr>
        <w:pStyle w:val="FirstParagraph"/>
      </w:pPr>
      <w:r>
        <w:t xml:space="preserve">Our data reveals that events featuring the Politician generated 78% higher attendee conversion rates compared to standard government functions. The "Doha Prosperity Summit" hosted by the Politician on September 15 attracted 2,400 business delegates from 37 countries—resulting in QR9.2 million in immediate sales commitments. Notably, Qatari businesses showed a 63% preference for partnering with initiatives directly endorsed by political leadership, demonstrating how effective political engagement translates to commercial trust.</w:t>
      </w:r>
    </w:p>
    <w:bookmarkEnd w:id="22"/>
    <w:bookmarkStart w:id="23" w:name="Xebdacd7fd49670fc3690f9788bc4b751fcc9713"/>
    <w:p>
      <w:pPr>
        <w:pStyle w:val="Heading3"/>
      </w:pPr>
      <w:r>
        <w:t xml:space="preserve">Geographic Sales Distribution in Qatar Doha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Area</w:t>
            </w:r>
          </w:p>
        </w:tc>
        <w:tc>
          <w:tcPr/>
          <w:p>
            <w:pPr>
              <w:pStyle w:val="Compact"/>
              <w:jc w:val="left"/>
            </w:pPr>
            <w:r>
              <w:t xml:space="preserve">Sales Revenue (QR)</w:t>
            </w:r>
          </w:p>
        </w:tc>
        <w:tc>
          <w:tcPr/>
          <w:p>
            <w:pPr>
              <w:pStyle w:val="Compact"/>
              <w:jc w:val="left"/>
            </w:pPr>
            <w:r>
              <w:t xml:space="preserve">Growth vs Previous Quarter</w:t>
            </w:r>
          </w:p>
        </w:tc>
        <w:tc>
          <w:tcPr/>
          <w:p>
            <w:pPr>
              <w:pStyle w:val="Compact"/>
              <w:jc w:val="left"/>
            </w:pPr>
            <w:r>
              <w:t xml:space="preserve">Key Partnerships</w:t>
            </w:r>
          </w:p>
        </w:tc>
      </w:tr>
      <w:tr>
        <w:tc>
          <w:tcPr/>
          <w:p>
            <w:pPr>
              <w:pStyle w:val="Compact"/>
              <w:jc w:val="left"/>
            </w:pPr>
            <w:r>
              <w:t xml:space="preserve">Doha Corniche</w:t>
            </w:r>
          </w:p>
        </w:tc>
        <w:tc>
          <w:tcPr/>
          <w:p>
            <w:pPr>
              <w:pStyle w:val="Compact"/>
              <w:jc w:val="left"/>
            </w:pPr>
            <w:r>
              <w:t xml:space="preserve">4,250,000</w:t>
            </w:r>
          </w:p>
        </w:tc>
        <w:tc>
          <w:tcPr/>
          <w:p>
            <w:pPr>
              <w:pStyle w:val="Compact"/>
              <w:jc w:val="left"/>
            </w:pPr>
            <w:r>
              <w:t xml:space="preserve">+31%</w:t>
            </w:r>
          </w:p>
        </w:tc>
        <w:tc>
          <w:tcPr/>
          <w:p>
            <w:pPr>
              <w:pStyle w:val="Compact"/>
              <w:jc w:val="left"/>
            </w:pPr>
            <w:r>
              <w:t xml:space="preserve">Qatar Airways, Al Jazeera Media Network</w:t>
            </w:r>
          </w:p>
        </w:tc>
      </w:tr>
      <w:tr>
        <w:tc>
          <w:tcPr/>
          <w:p>
            <w:pPr>
              <w:pStyle w:val="Compact"/>
              <w:jc w:val="left"/>
            </w:pPr>
            <w:r>
              <w:t xml:space="preserve">West Bay Business District</w:t>
            </w:r>
          </w:p>
        </w:tc>
        <w:tc>
          <w:tcPr/>
          <w:p>
            <w:pPr>
              <w:pStyle w:val="Compact"/>
              <w:jc w:val="left"/>
            </w:pPr>
            <w:r>
              <w:t xml:space="preserve">5,120,000</w:t>
            </w:r>
          </w:p>
        </w:tc>
        <w:tc>
          <w:tcPr/>
          <w:p>
            <w:pPr>
              <w:pStyle w:val="Compact"/>
              <w:jc w:val="left"/>
            </w:pPr>
            <w:r>
              <w:t xml:space="preserve">+47%</w:t>
            </w:r>
          </w:p>
        </w:tc>
        <w:tc>
          <w:tcPr/>
          <w:p>
            <w:pPr>
              <w:pStyle w:val="Compact"/>
              <w:jc w:val="left"/>
            </w:pPr>
            <w:r>
              <w:t xml:space="preserve">Qatar Investment Authority, MECO Group</w:t>
            </w:r>
          </w:p>
        </w:tc>
      </w:tr>
      <w:tr>
        <w:tc>
          <w:tcPr/>
          <w:p>
            <w:pPr>
              <w:pStyle w:val="Compact"/>
              <w:jc w:val="left"/>
            </w:pPr>
            <w:r>
              <w:t xml:space="preserve">Doha Industrial City</w:t>
            </w:r>
          </w:p>
        </w:tc>
        <w:tc>
          <w:tcPr/>
          <w:p>
            <w:pPr>
              <w:pStyle w:val="Compact"/>
              <w:jc w:val="left"/>
            </w:pPr>
            <w:r>
              <w:t xml:space="preserve">3,860,000</w:t>
            </w:r>
          </w:p>
        </w:tc>
        <w:tc>
          <w:tcPr/>
          <w:p>
            <w:pPr>
              <w:pStyle w:val="Compact"/>
              <w:jc w:val="left"/>
            </w:pPr>
            <w:r>
              <w:t xml:space="preserve">+28%</w:t>
            </w:r>
          </w:p>
        </w:tc>
        <w:tc>
          <w:tcPr/>
          <w:p>
            <w:pPr>
              <w:pStyle w:val="Compact"/>
              <w:jc w:val="left"/>
            </w:pPr>
            <w:r>
              <w:t xml:space="preserve">Qatar Petrochemicals, Doha Gas</w:t>
            </w:r>
          </w:p>
        </w:tc>
      </w:tr>
      <w:tr>
        <w:tc>
          <w:tcPr/>
          <w:p>
            <w:pPr>
              <w:pStyle w:val="Compact"/>
              <w:jc w:val="left"/>
            </w:pPr>
            <w:r>
              <w:t xml:space="preserve">Ras Abu Aboud Development Zone</w:t>
            </w:r>
          </w:p>
        </w:tc>
        <w:tc>
          <w:tcPr/>
          <w:p>
            <w:pPr>
              <w:pStyle w:val="Compact"/>
              <w:jc w:val="left"/>
            </w:pPr>
            <w:r>
              <w:t xml:space="preserve">2,470,000</w:t>
            </w:r>
          </w:p>
        </w:tc>
        <w:tc>
          <w:tcPr/>
          <w:p>
            <w:pPr>
              <w:pStyle w:val="Compact"/>
              <w:jc w:val="left"/>
            </w:pPr>
            <w:r>
              <w:t xml:space="preserve">+52%</w:t>
            </w:r>
          </w:p>
        </w:tc>
        <w:tc>
          <w:tcPr/>
          <w:p>
            <w:pPr>
              <w:pStyle w:val="Compact"/>
              <w:jc w:val="left"/>
            </w:pPr>
            <w:r>
              <w:t xml:space="preserve">CIMIC Group, Al-Maha Construction</w:t>
            </w:r>
          </w:p>
        </w:tc>
      </w:tr>
    </w:tbl>
    <w:bookmarkEnd w:id="23"/>
    <w:bookmarkStart w:id="24" w:name="political-engagement-as-sales-catalyst"/>
    <w:p>
      <w:pPr>
        <w:pStyle w:val="Heading3"/>
      </w:pPr>
      <w:r>
        <w:t xml:space="preserve">Political Engagement as Sales Catalyst</w:t>
      </w:r>
    </w:p>
    <w:p>
      <w:pPr>
        <w:pStyle w:val="FirstParagraph"/>
      </w:pPr>
      <w:r>
        <w:t xml:space="preserve">The most significant finding from this Sales Report is the quantifiable impact of the Politician's direct involvement. When the Politician personally participated in sales pitches for major infrastructure projects (including Doha Metro Phase 2 and Lusail City developments), closing rates increased by 58% compared to standard procurement processes. This demonstrates how political capital translates directly into commercial outcomes in Qatar's business environment.</w:t>
      </w:r>
    </w:p>
    <w:p>
      <w:pPr>
        <w:pStyle w:val="BodyText"/>
      </w:pPr>
      <w:r>
        <w:t xml:space="preserve">Notable examples include the $12.3 million contract with Al-Mafraj Construction for sustainable building materials—secured during a Politician-hosted roundtable discussion at Souq Waqif. Another critical win was the tourism partnership agreement between Qatari Hospitality Group and 45 international operators, facilitated through the Politician's office after months of stalled negotiations.</w:t>
      </w:r>
    </w:p>
    <w:bookmarkEnd w:id="24"/>
    <w:bookmarkEnd w:id="25"/>
    <w:bookmarkStart w:id="29" w:name="X1f7ece9248a2c152c307629ad58e8409f1fe8ee"/>
    <w:p>
      <w:pPr>
        <w:pStyle w:val="Heading2"/>
      </w:pPr>
      <w:r>
        <w:t xml:space="preserve">Strategic Insights for Qatar Doha's Future</w:t>
      </w:r>
    </w:p>
    <w:bookmarkStart w:id="26" w:name="the-politician-driven-sales-model"/>
    <w:p>
      <w:pPr>
        <w:pStyle w:val="Heading3"/>
      </w:pPr>
      <w:r>
        <w:t xml:space="preserve">The Politician-Driven Sales Model</w:t>
      </w:r>
    </w:p>
    <w:p>
      <w:pPr>
        <w:pStyle w:val="FirstParagraph"/>
      </w:pPr>
      <w:r>
        <w:t xml:space="preserve">This initiative established a replicable framework where political leadership actively participates in sales cycles rather than merely endorsing them. The Politician's office created a dedicated "Business Acceleration Unit" that provided real-time deal support for participating companies. This model reduced average sales cycle times from 147 days to 89 days—a 39% efficiency gain—directly contributing to Qatar Doha's economic growth targets.</w:t>
      </w:r>
    </w:p>
    <w:bookmarkEnd w:id="26"/>
    <w:bookmarkStart w:id="27" w:name="cultural-alignment-in-sales-approach"/>
    <w:p>
      <w:pPr>
        <w:pStyle w:val="Heading3"/>
      </w:pPr>
      <w:r>
        <w:t xml:space="preserve">Cultural Alignment in Sales Approach</w:t>
      </w:r>
    </w:p>
    <w:p>
      <w:pPr>
        <w:pStyle w:val="FirstParagraph"/>
      </w:pPr>
      <w:r>
        <w:t xml:space="preserve">The success of this Sales Report hinges on cultural intelligence. Our team adapted sales methodologies to align with Qatari business values, emphasizing relationship-building (wasta) and long-term partnerships over transactional approaches. The Politician's reputation for integrity was leveraged as a trust accelerator—87% of new partners cited political credibility as their primary reason for engagement.</w:t>
      </w:r>
    </w:p>
    <w:bookmarkEnd w:id="27"/>
    <w:bookmarkStart w:id="28" w:name="qatar-doha-a-sales-ecosystem-blueprint"/>
    <w:p>
      <w:pPr>
        <w:pStyle w:val="Heading3"/>
      </w:pPr>
      <w:r>
        <w:t xml:space="preserve">Qatar Doha: A Sales Ecosystem Blueprint</w:t>
      </w:r>
    </w:p>
    <w:p>
      <w:pPr>
        <w:pStyle w:val="FirstParagraph"/>
      </w:pPr>
      <w:r>
        <w:t xml:space="preserve">The data confirms that Qatar Doha operates as a unique sales ecosystem where political influence, economic development, and community engagement converge. This report identifies three critical success factors for future initiatives:</w:t>
      </w:r>
    </w:p>
    <w:p>
      <w:pPr>
        <w:numPr>
          <w:ilvl w:val="0"/>
          <w:numId w:val="1001"/>
        </w:numPr>
        <w:pStyle w:val="Compact"/>
      </w:pPr>
      <w:r>
        <w:rPr>
          <w:bCs/>
          <w:b/>
        </w:rPr>
        <w:t xml:space="preserve">Political-Commercial Integration:</w:t>
      </w:r>
      <w:r>
        <w:t xml:space="preserve"> </w:t>
      </w:r>
      <w:r>
        <w:t xml:space="preserve">Sales strategies must be co-developed with government leadership</w:t>
      </w:r>
    </w:p>
    <w:p>
      <w:pPr>
        <w:numPr>
          <w:ilvl w:val="0"/>
          <w:numId w:val="1001"/>
        </w:numPr>
        <w:pStyle w:val="Compact"/>
      </w:pPr>
      <w:r>
        <w:rPr>
          <w:bCs/>
          <w:b/>
        </w:rPr>
        <w:t xml:space="preserve">Cultural Precision:</w:t>
      </w:r>
      <w:r>
        <w:t xml:space="preserve"> </w:t>
      </w:r>
      <w:r>
        <w:t xml:space="preserve">All sales materials and engagement protocols require Qatar-specific adaptation</w:t>
      </w:r>
    </w:p>
    <w:p>
      <w:pPr>
        <w:numPr>
          <w:ilvl w:val="0"/>
          <w:numId w:val="1001"/>
        </w:numPr>
        <w:pStyle w:val="Compact"/>
      </w:pPr>
      <w:r>
        <w:rPr>
          <w:bCs/>
          <w:b/>
        </w:rPr>
        <w:t xml:space="preserve">Sustainability Focus:</w:t>
      </w:r>
      <w:r>
        <w:t xml:space="preserve"> </w:t>
      </w:r>
      <w:r>
        <w:t xml:space="preserve">74% of new contracts included ESG compliance clauses, aligning with national vision</w:t>
      </w:r>
    </w:p>
    <w:bookmarkEnd w:id="28"/>
    <w:bookmarkEnd w:id="29"/>
    <w:bookmarkStart w:id="30" w:name="conclusion-and-strategic-recommendations"/>
    <w:p>
      <w:pPr>
        <w:pStyle w:val="Heading2"/>
      </w:pPr>
      <w:r>
        <w:t xml:space="preserve">Conclusion and Strategic Recommendations</w:t>
      </w:r>
    </w:p>
    <w:p>
      <w:pPr>
        <w:pStyle w:val="FirstParagraph"/>
      </w:pPr>
      <w:r>
        <w:t xml:space="preserve">This Sales Report conclusively demonstrates that political leadership in Qatar Doha can serve as a powerful sales catalyst when deployed through structured commercial frameworks. The initiative's success—measured by QR18.7 million in direct revenue, 42,000 new business relationships, and accelerated project timelines—proves that the Politician's office is not merely a governance entity but an active economic driver.</w:t>
      </w:r>
    </w:p>
    <w:p>
      <w:pPr>
        <w:pStyle w:val="BodyText"/>
      </w:pPr>
      <w:r>
        <w:t xml:space="preserve">For future implementation across Qatar Doha, we recommend:</w:t>
      </w:r>
    </w:p>
    <w:p>
      <w:pPr>
        <w:numPr>
          <w:ilvl w:val="0"/>
          <w:numId w:val="1002"/>
        </w:numPr>
        <w:pStyle w:val="Compact"/>
      </w:pPr>
      <w:r>
        <w:t xml:space="preserve">Formalizing the "Politician Sales Acceleration Program" with dedicated budget lines in all government ministries</w:t>
      </w:r>
    </w:p>
    <w:p>
      <w:pPr>
        <w:numPr>
          <w:ilvl w:val="0"/>
          <w:numId w:val="1002"/>
        </w:numPr>
        <w:pStyle w:val="Compact"/>
      </w:pPr>
      <w:r>
        <w:t xml:space="preserve">Developing a national sales curriculum for political offices emphasizing commercial metrics</w:t>
      </w:r>
    </w:p>
    <w:p>
      <w:pPr>
        <w:numPr>
          <w:ilvl w:val="0"/>
          <w:numId w:val="1002"/>
        </w:numPr>
        <w:pStyle w:val="Compact"/>
      </w:pPr>
      <w:r>
        <w:t xml:space="preserve">Creating a Qatar Doha Business Trust Index to measure political leadership impact on economic outcomes</w:t>
      </w:r>
    </w:p>
    <w:p>
      <w:pPr>
        <w:pStyle w:val="FirstParagraph"/>
      </w:pPr>
      <w:r>
        <w:t xml:space="preserve">The data reveals an irreversible shift: In the competitive Gulf marketplace, effective political engagement is now synonymous with successful sales. As one major Qatari enterprise leader noted during our post-event analysis: "When the Politician personally endorses a project, it's not just approval—it's an immediate sales conversion." This Sales Report provides actionable evidence for Qatar Doha to institutionalize this model across all sectors of national development.</w:t>
      </w:r>
    </w:p>
    <w:p>
      <w:pPr>
        <w:pStyle w:val="BodyText"/>
      </w:pPr>
      <w:r>
        <w:t xml:space="preserve">As we move forward with Vision 2030 implementation, the integration of political leadership and commercial strategy will remain central to Qatar's economic narrative. The success documented in this report proves that the Politician is not merely a figurehead but an indispensable sales partner for sustainable growth in our dynamic capital city.</w:t>
      </w:r>
    </w:p>
    <w:p>
      <w:pPr>
        <w:pStyle w:val="BodyText"/>
      </w:pPr>
      <w:r>
        <w:t xml:space="preserve">"In Qatar Doha, where vision meets execution, political leadership is the ultimate sales accelerator."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Political Engagement Initiative</dc:title>
  <dc:creator/>
  <dc:language>en</dc:language>
  <cp:keywords/>
  <dcterms:created xsi:type="dcterms:W3CDTF">2026-07-23T13:49:40Z</dcterms:created>
  <dcterms:modified xsi:type="dcterms:W3CDTF">2026-07-23T13:49:40Z</dcterms:modified>
</cp:coreProperties>
</file>

<file path=docProps/custom.xml><?xml version="1.0" encoding="utf-8"?>
<Properties xmlns="http://schemas.openxmlformats.org/officeDocument/2006/custom-properties" xmlns:vt="http://schemas.openxmlformats.org/officeDocument/2006/docPropsVTypes"/>
</file>