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Politician</w:t>
      </w:r>
      <w:r>
        <w:t xml:space="preserve"> </w:t>
      </w:r>
      <w:r>
        <w:t xml:space="preserve">Performance</w:t>
      </w:r>
      <w:r>
        <w:t xml:space="preserve"> </w:t>
      </w:r>
      <w:r>
        <w:t xml:space="preserve">in</w:t>
      </w:r>
      <w:r>
        <w:t xml:space="preserve"> </w:t>
      </w:r>
      <w:r>
        <w:t xml:space="preserve">Russia</w:t>
      </w:r>
      <w:r>
        <w:t xml:space="preserve"> </w:t>
      </w:r>
      <w:r>
        <w:t xml:space="preserve">Moscow</w:t>
      </w:r>
    </w:p>
    <w:bookmarkStart w:id="28" w:name="X9d00394912f7b47644659b77c0019c962f03f42"/>
    <w:p>
      <w:pPr>
        <w:pStyle w:val="Heading1"/>
      </w:pPr>
      <w:r>
        <w:t xml:space="preserve">OFFICIAL SALES REPORT: ELECTORAL PERFORMANCE OF POLITICIAN IN MOSCOW, RUSSIA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Federal Electoral Commission &amp; Moscow City Administration</w:t>
      </w:r>
      <w:r>
        <w:br/>
      </w:r>
      <w:r>
        <w:rPr>
          <w:bCs/>
          <w:b/>
        </w:rPr>
        <w:t xml:space="preserve">Subject:</w:t>
      </w:r>
      <w:r>
        <w:t xml:space="preserve"> </w:t>
      </w:r>
      <w:r>
        <w:t xml:space="preserve">Comprehensive Sales Performance Analysis of Candidate Alexei Volkov (United Progressive Party)</w:t>
      </w:r>
    </w:p>
    <w:bookmarkStart w:id="20" w:name="i.-executive-summary"/>
    <w:p>
      <w:pPr>
        <w:pStyle w:val="Heading2"/>
      </w:pPr>
      <w:r>
        <w:t xml:space="preserve">I. Executive Summary</w:t>
      </w:r>
    </w:p>
    <w:p>
      <w:pPr>
        <w:pStyle w:val="FirstParagraph"/>
      </w:pPr>
      <w:r>
        <w:t xml:space="preserve">This Sales Report details the electoral campaign performance metrics of Politician Alexei Volkov across the Moscow region, Russia. The analysis covers 180-day campaign period from January 1, 2023 to June 30, 2023, documenting voter acquisition ("sales"), community engagement ("conversion rates"), and territory penetration. The report confirms Volkov achieved a market share of</w:t>
      </w:r>
      <w:r>
        <w:t xml:space="preserve"> </w:t>
      </w:r>
      <w:r>
        <w:rPr>
          <w:bCs/>
          <w:b/>
        </w:rPr>
        <w:t xml:space="preserve">68.4%</w:t>
      </w:r>
      <w:r>
        <w:t xml:space="preserve"> </w:t>
      </w:r>
      <w:r>
        <w:t xml:space="preserve">in Moscow city elections – exceeding the regional average by 19.7% and establishing him as the most successful Politician in Russia Moscow history for this electoral cycle.</w:t>
      </w:r>
    </w:p>
    <w:bookmarkEnd w:id="20"/>
    <w:bookmarkStart w:id="21" w:name="ii.-sales-strategy-framework"/>
    <w:p>
      <w:pPr>
        <w:pStyle w:val="Heading2"/>
      </w:pPr>
      <w:r>
        <w:t xml:space="preserve">II. Sales Strategy Framework</w:t>
      </w:r>
    </w:p>
    <w:p>
      <w:pPr>
        <w:pStyle w:val="FirstParagraph"/>
      </w:pPr>
      <w:r>
        <w:t xml:space="preserve">The campaign adopted a three-pillar "Sales" model tailored to Russia Moscow's political landscape:</w:t>
      </w:r>
    </w:p>
    <w:p>
      <w:pPr>
        <w:numPr>
          <w:ilvl w:val="0"/>
          <w:numId w:val="1001"/>
        </w:numPr>
        <w:pStyle w:val="Compact"/>
      </w:pPr>
      <w:r>
        <w:rPr>
          <w:bCs/>
          <w:b/>
        </w:rPr>
        <w:t xml:space="preserve">Hyper-Local Targeting (Territory Sales):</w:t>
      </w:r>
      <w:r>
        <w:t xml:space="preserve"> </w:t>
      </w:r>
      <w:r>
        <w:t xml:space="preserve">37 district offices deployed across Moscow, each assigned unique voter acquisition quotas. This localized approach generated 22.3% higher engagement than previous citywide campaigns.</w:t>
      </w:r>
    </w:p>
    <w:p>
      <w:pPr>
        <w:numPr>
          <w:ilvl w:val="0"/>
          <w:numId w:val="1001"/>
        </w:numPr>
        <w:pStyle w:val="Compact"/>
      </w:pPr>
      <w:r>
        <w:rPr>
          <w:bCs/>
          <w:b/>
        </w:rPr>
        <w:t xml:space="preserve">Voter Value Proposition (VVP) Development:</w:t>
      </w:r>
      <w:r>
        <w:t xml:space="preserve"> </w:t>
      </w:r>
      <w:r>
        <w:t xml:space="preserve">Campaign messaging focused on tangible outcomes: "50,000 new jobs in Moscow by 2026" and "15% reduction in public transport fares." These clear value statements converted 87.6% of initial inquiries into committed supporters.</w:t>
      </w:r>
    </w:p>
    <w:p>
      <w:pPr>
        <w:numPr>
          <w:ilvl w:val="0"/>
          <w:numId w:val="1001"/>
        </w:numPr>
        <w:pStyle w:val="Compact"/>
      </w:pPr>
      <w:r>
        <w:rPr>
          <w:bCs/>
          <w:b/>
        </w:rPr>
        <w:t xml:space="preserve">Multi-Channel Sales Funnel:</w:t>
      </w:r>
      <w:r>
        <w:t xml:space="preserve"> </w:t>
      </w:r>
      <w:r>
        <w:t xml:space="preserve">Integrated digital (Telegram, VKontakte), offline (Moscow Metro ads, community centers), and direct mail systems created a seamless voter acquisition journey.</w:t>
      </w:r>
    </w:p>
    <w:bookmarkEnd w:id="21"/>
    <w:bookmarkStart w:id="22" w:name="X381a6310630735d71b6c67514af9cc5963dd20f"/>
    <w:p>
      <w:pPr>
        <w:pStyle w:val="Heading2"/>
      </w:pPr>
      <w:r>
        <w:t xml:space="preserve">III. Moscow-Specific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Actual Result</w:t>
            </w:r>
          </w:p>
        </w:tc>
        <w:tc>
          <w:tcPr/>
          <w:p>
            <w:pPr>
              <w:pStyle w:val="Compact"/>
              <w:jc w:val="left"/>
            </w:pPr>
            <w:r>
              <w:t xml:space="preserve">Target</w:t>
            </w:r>
          </w:p>
        </w:tc>
        <w:tc>
          <w:tcPr/>
          <w:p>
            <w:pPr>
              <w:pStyle w:val="Compact"/>
              <w:jc w:val="left"/>
            </w:pPr>
            <w:r>
              <w:t xml:space="preserve">Variance (%)</w:t>
            </w:r>
          </w:p>
        </w:tc>
      </w:tr>
      <w:tr>
        <w:tc>
          <w:tcPr/>
          <w:p>
            <w:pPr>
              <w:pStyle w:val="Compact"/>
              <w:jc w:val="left"/>
            </w:pPr>
            <w:r>
              <w:t xml:space="preserve">Voter Acquisition (Moscow City)</w:t>
            </w:r>
          </w:p>
        </w:tc>
        <w:tc>
          <w:tcPr/>
          <w:p>
            <w:pPr>
              <w:pStyle w:val="Compact"/>
              <w:jc w:val="left"/>
            </w:pPr>
            <w:r>
              <w:t xml:space="preserve">2,314,876</w:t>
            </w:r>
          </w:p>
        </w:tc>
        <w:tc>
          <w:tcPr/>
          <w:p>
            <w:pPr>
              <w:pStyle w:val="Compact"/>
              <w:jc w:val="left"/>
            </w:pPr>
            <w:r>
              <w:t xml:space="preserve">1,980,000</w:t>
            </w:r>
          </w:p>
        </w:tc>
        <w:tc>
          <w:tcPr/>
          <w:p>
            <w:pPr>
              <w:pStyle w:val="Compact"/>
              <w:jc w:val="left"/>
            </w:pPr>
            <w:r>
              <w:t xml:space="preserve">+16.9%</w:t>
            </w:r>
          </w:p>
        </w:tc>
      </w:tr>
      <w:tr>
        <w:tc>
          <w:tcPr/>
          <w:p>
            <w:pPr>
              <w:pStyle w:val="Compact"/>
              <w:jc w:val="left"/>
            </w:pPr>
            <w:r>
              <w:t xml:space="preserve">Online Engagement Rate (VK/Telegram)</w:t>
            </w:r>
          </w:p>
        </w:tc>
        <w:tc>
          <w:tcPr/>
          <w:p>
            <w:pPr>
              <w:pStyle w:val="Compact"/>
              <w:jc w:val="left"/>
            </w:pPr>
            <w:r>
              <w:t xml:space="preserve">42.3%</w:t>
            </w:r>
          </w:p>
        </w:tc>
        <w:tc>
          <w:tcPr/>
          <w:p>
            <w:pPr>
              <w:pStyle w:val="Compact"/>
              <w:jc w:val="left"/>
            </w:pPr>
            <w:r>
              <w:t xml:space="preserve">35.1%</w:t>
            </w:r>
          </w:p>
        </w:tc>
        <w:tc>
          <w:tcPr/>
          <w:p>
            <w:pPr>
              <w:pStyle w:val="Compact"/>
              <w:jc w:val="left"/>
            </w:pPr>
            <w:r>
              <w:t xml:space="preserve">+20.5%</w:t>
            </w:r>
          </w:p>
        </w:tc>
      </w:tr>
      <w:tr>
        <w:tc>
          <w:tcPr/>
          <w:p>
            <w:pPr>
              <w:pStyle w:val="Compact"/>
              <w:jc w:val="left"/>
            </w:pPr>
            <w:r>
              <w:t xml:space="preserve">Community Event Attendance</w:t>
            </w:r>
          </w:p>
        </w:tc>
        <w:tc>
          <w:tcPr/>
          <w:p>
            <w:pPr>
              <w:pStyle w:val="Compact"/>
              <w:jc w:val="left"/>
            </w:pPr>
            <w:r>
              <w:t xml:space="preserve">147 events (8,900+ attendees)</w:t>
            </w:r>
          </w:p>
        </w:tc>
        <w:tc>
          <w:tcPr/>
          <w:p>
            <w:pPr>
              <w:pStyle w:val="Compact"/>
              <w:jc w:val="left"/>
            </w:pPr>
            <w:r>
              <w:t xml:space="preserve">120 events</w:t>
            </w:r>
          </w:p>
        </w:tc>
        <w:tc>
          <w:tcPr/>
          <w:p>
            <w:pPr>
              <w:pStyle w:val="Compact"/>
              <w:jc w:val="left"/>
            </w:pPr>
            <w:r>
              <w:t xml:space="preserve">+22.5%</w:t>
            </w:r>
          </w:p>
        </w:tc>
      </w:tr>
      <w:tr>
        <w:tc>
          <w:tcPr/>
          <w:p>
            <w:pPr>
              <w:pStyle w:val="Compact"/>
              <w:jc w:val="left"/>
            </w:pPr>
            <w:r>
              <w:t xml:space="preserve">Voter Retention Rate (Post-Campaign)</w:t>
            </w:r>
          </w:p>
        </w:tc>
        <w:tc>
          <w:tcPr/>
          <w:p>
            <w:pPr>
              <w:pStyle w:val="Compact"/>
              <w:jc w:val="left"/>
            </w:pPr>
            <w:r>
              <w:t xml:space="preserve">81.7%</w:t>
            </w:r>
          </w:p>
        </w:tc>
        <w:tc>
          <w:tcPr/>
          <w:p>
            <w:pPr>
              <w:pStyle w:val="Compact"/>
              <w:jc w:val="left"/>
            </w:pPr>
            <w:r>
              <w:t xml:space="preserve">73.4%</w:t>
            </w:r>
          </w:p>
        </w:tc>
        <w:tc>
          <w:tcPr/>
          <w:p>
            <w:pPr>
              <w:pStyle w:val="Compact"/>
              <w:jc w:val="left"/>
            </w:pPr>
            <w:r>
              <w:t xml:space="preserve">+8.3%</w:t>
            </w:r>
          </w:p>
        </w:tc>
      </w:tr>
    </w:tbl>
    <w:bookmarkEnd w:id="22"/>
    <w:bookmarkStart w:id="23" w:name="X278bb760e78764bdb7d3b58d275c23a51103076"/>
    <w:p>
      <w:pPr>
        <w:pStyle w:val="Heading2"/>
      </w:pPr>
      <w:r>
        <w:t xml:space="preserve">IV. Critical Success Factors in Russia Moscow Context</w:t>
      </w:r>
    </w:p>
    <w:p>
      <w:pPr>
        <w:pStyle w:val="FirstParagraph"/>
      </w:pPr>
      <w:r>
        <w:rPr>
          <w:bCs/>
          <w:b/>
        </w:rPr>
        <w:t xml:space="preserve">A) Cultural Alignment:</w:t>
      </w:r>
      <w:r>
        <w:t xml:space="preserve"> </w:t>
      </w:r>
      <w:r>
        <w:t xml:space="preserve">The Politician's "Moscow First" campaign directly addressed city-specific pain points – including the 34% housing cost increase in 2022. Campaign materials featured iconic Moscow landmarks (Bolshoi Theatre, Sparrow Hills) to establish local identity. This cultural resonance boosted sales conversion by 31% compared to national campaigns.</w:t>
      </w:r>
    </w:p>
    <w:p>
      <w:pPr>
        <w:pStyle w:val="BodyText"/>
      </w:pPr>
      <w:r>
        <w:rPr>
          <w:bCs/>
          <w:b/>
        </w:rPr>
        <w:t xml:space="preserve">B) Digital Sales Infrastructure:</w:t>
      </w:r>
      <w:r>
        <w:t xml:space="preserve"> </w:t>
      </w:r>
      <w:r>
        <w:t xml:space="preserve">Leveraging Russia's dominant Telegram platform, the campaign created 7 specialized "Moscow District" channels with AI chatbots handling 24/7 voter inquiries. This digital channel generated 58% of all new sign-ups, surpassing traditional methods by 2.3x.</w:t>
      </w:r>
    </w:p>
    <w:p>
      <w:pPr>
        <w:pStyle w:val="BodyText"/>
      </w:pPr>
      <w:r>
        <w:rPr>
          <w:bCs/>
          <w:b/>
        </w:rPr>
        <w:t xml:space="preserve">C) Strategic Partnership Sales:</w:t>
      </w:r>
      <w:r>
        <w:t xml:space="preserve"> </w:t>
      </w:r>
      <w:r>
        <w:t xml:space="preserve">Collaborating with Moscow's leading business associations (Moscow Chamber of Commerce, RTI Group) created a "business support" sales tier. These partnerships delivered 184 corporate endorsements – the highest in Moscow history for any Politician – converting into 127,000+ small business voter referrals.</w:t>
      </w:r>
    </w:p>
    <w:bookmarkEnd w:id="23"/>
    <w:bookmarkStart w:id="24" w:name="v.-challenges-strategic-adjustments"/>
    <w:p>
      <w:pPr>
        <w:pStyle w:val="Heading2"/>
      </w:pPr>
      <w:r>
        <w:t xml:space="preserve">V. Challenges &amp; Strategic Adjustments</w:t>
      </w:r>
    </w:p>
    <w:p>
      <w:pPr>
        <w:pStyle w:val="FirstParagraph"/>
      </w:pPr>
      <w:r>
        <w:t xml:space="preserve">Early campaign data showed low engagement in eastern Moscow districts (Novogireyevo, Lianozovo). The Sales Team immediately implemented:</w:t>
      </w:r>
    </w:p>
    <w:p>
      <w:pPr>
        <w:numPr>
          <w:ilvl w:val="0"/>
          <w:numId w:val="1002"/>
        </w:numPr>
        <w:pStyle w:val="Compact"/>
      </w:pPr>
      <w:r>
        <w:rPr>
          <w:bCs/>
          <w:b/>
        </w:rPr>
        <w:t xml:space="preserve">Localized Content Strategy:</w:t>
      </w:r>
      <w:r>
        <w:t xml:space="preserve"> </w:t>
      </w:r>
      <w:r>
        <w:t xml:space="preserve">Created district-specific materials featuring local heroes (e.g., "Our neighborhood hero: Maria Petrova of Zelenograd") – increasing engagement by 43% in affected areas.</w:t>
      </w:r>
    </w:p>
    <w:p>
      <w:pPr>
        <w:numPr>
          <w:ilvl w:val="0"/>
          <w:numId w:val="1002"/>
        </w:numPr>
        <w:pStyle w:val="Compact"/>
      </w:pPr>
      <w:r>
        <w:rPr>
          <w:bCs/>
          <w:b/>
        </w:rPr>
        <w:t xml:space="preserve">Sales Force Reallocation:</w:t>
      </w:r>
      <w:r>
        <w:t xml:space="preserve"> </w:t>
      </w:r>
      <w:r>
        <w:t xml:space="preserve">Shifted 12 field representatives from low-performing zones to high-potential districts, raising sales conversion by 27% within 14 days.</w:t>
      </w:r>
    </w:p>
    <w:bookmarkEnd w:id="24"/>
    <w:bookmarkStart w:id="25" w:name="X2255b590ff62774c213cecd3f3594eaf92b9ee5"/>
    <w:p>
      <w:pPr>
        <w:pStyle w:val="Heading2"/>
      </w:pPr>
      <w:r>
        <w:t xml:space="preserve">VI. Comparative Market Analysis (Russia Moscow)</w:t>
      </w:r>
    </w:p>
    <w:p>
      <w:pPr>
        <w:pStyle w:val="FirstParagraph"/>
      </w:pPr>
      <w:r>
        <w:t xml:space="preserve">The Sales Report benchmarks Volkov's performance against all Politician campaigns in Moscow over the past decade:</w:t>
      </w:r>
    </w:p>
    <w:p>
      <w:pPr>
        <w:numPr>
          <w:ilvl w:val="0"/>
          <w:numId w:val="1003"/>
        </w:numPr>
        <w:pStyle w:val="Compact"/>
      </w:pPr>
      <w:r>
        <w:rPr>
          <w:bCs/>
          <w:b/>
        </w:rPr>
        <w:t xml:space="preserve">Record-Breaking Turnout:</w:t>
      </w:r>
      <w:r>
        <w:t xml:space="preserve"> </w:t>
      </w:r>
      <w:r>
        <w:t xml:space="preserve">68.4% voter participation – highest since 1995, significantly above the national average (57.2%).</w:t>
      </w:r>
    </w:p>
    <w:p>
      <w:pPr>
        <w:numPr>
          <w:ilvl w:val="0"/>
          <w:numId w:val="1003"/>
        </w:numPr>
        <w:pStyle w:val="Compact"/>
      </w:pPr>
      <w:r>
        <w:rPr>
          <w:bCs/>
          <w:b/>
        </w:rPr>
        <w:t xml:space="preserve">Voter Demographics Shift:</w:t>
      </w:r>
      <w:r>
        <w:t xml:space="preserve"> </w:t>
      </w:r>
      <w:r>
        <w:t xml:space="preserve">Acquired 34% of voters aged 18-24 (previously untapped segment) through TikTok-style "Moscow Stories" content.</w:t>
      </w:r>
    </w:p>
    <w:p>
      <w:pPr>
        <w:numPr>
          <w:ilvl w:val="0"/>
          <w:numId w:val="1003"/>
        </w:numPr>
        <w:pStyle w:val="Compact"/>
      </w:pPr>
      <w:r>
        <w:rPr>
          <w:bCs/>
          <w:b/>
        </w:rPr>
        <w:t xml:space="preserve">Cost Efficiency:</w:t>
      </w:r>
      <w:r>
        <w:t xml:space="preserve"> </w:t>
      </w:r>
      <w:r>
        <w:t xml:space="preserve">Achieved $0.72 per voter acquired – 39% lower than competitor campaigns in Russia Moscow.</w:t>
      </w:r>
    </w:p>
    <w:bookmarkEnd w:id="25"/>
    <w:bookmarkStart w:id="26" w:name="X23521d33c5b2a6afba255e249d93efa07393556"/>
    <w:p>
      <w:pPr>
        <w:pStyle w:val="Heading2"/>
      </w:pPr>
      <w:r>
        <w:t xml:space="preserve">VII. Future Sales Roadmap for Politician Volkov</w:t>
      </w:r>
    </w:p>
    <w:p>
      <w:pPr>
        <w:pStyle w:val="FirstParagraph"/>
      </w:pPr>
      <w:r>
        <w:t xml:space="preserve">This Sales Report confirms the viability of a data-driven approach to political sales in Russia Moscow. The following initiatives are prioritized for the next electoral cycle:</w:t>
      </w:r>
    </w:p>
    <w:p>
      <w:pPr>
        <w:numPr>
          <w:ilvl w:val="0"/>
          <w:numId w:val="1004"/>
        </w:numPr>
        <w:pStyle w:val="Compact"/>
      </w:pPr>
      <w:r>
        <w:rPr>
          <w:bCs/>
          <w:b/>
        </w:rPr>
        <w:t xml:space="preserve">Moscow Loyalty Program:</w:t>
      </w:r>
      <w:r>
        <w:t xml:space="preserve"> </w:t>
      </w:r>
      <w:r>
        <w:t xml:space="preserve">Implementing a "Voter Rewards" app offering discounts at Moscow businesses (e.g., 15% off metro rides) to increase retention.</w:t>
      </w:r>
    </w:p>
    <w:p>
      <w:pPr>
        <w:numPr>
          <w:ilvl w:val="0"/>
          <w:numId w:val="1004"/>
        </w:numPr>
        <w:pStyle w:val="Compact"/>
      </w:pPr>
      <w:r>
        <w:rPr>
          <w:bCs/>
          <w:b/>
        </w:rPr>
        <w:t xml:space="preserve">Expansion into Regional Markets:</w:t>
      </w:r>
      <w:r>
        <w:t xml:space="preserve"> </w:t>
      </w:r>
      <w:r>
        <w:t xml:space="preserve">Replicating the Moscow Sales Model in St. Petersburg and Novosibirsk – projecting 22% higher market penetration due to proven methodology.</w:t>
      </w:r>
    </w:p>
    <w:p>
      <w:pPr>
        <w:numPr>
          <w:ilvl w:val="0"/>
          <w:numId w:val="1004"/>
        </w:numPr>
        <w:pStyle w:val="Compact"/>
      </w:pPr>
      <w:r>
        <w:rPr>
          <w:bCs/>
          <w:b/>
        </w:rPr>
        <w:t xml:space="preserve">Sales Technology Investment:</w:t>
      </w:r>
      <w:r>
        <w:t xml:space="preserve"> </w:t>
      </w:r>
      <w:r>
        <w:t xml:space="preserve">Allocating $1.2M for predictive analytics AI to forecast voter behavior across all Russia Moscow districts with 93% accuracy.</w:t>
      </w:r>
    </w:p>
    <w:bookmarkEnd w:id="26"/>
    <w:bookmarkStart w:id="27" w:name="viii.-conclusion"/>
    <w:p>
      <w:pPr>
        <w:pStyle w:val="Heading2"/>
      </w:pPr>
      <w:r>
        <w:t xml:space="preserve">VIII. Conclusion</w:t>
      </w:r>
    </w:p>
    <w:p>
      <w:pPr>
        <w:pStyle w:val="FirstParagraph"/>
      </w:pPr>
      <w:r>
        <w:t xml:space="preserve">The Sales Report unequivocally demonstrates Politician Alexei Volkov's transformative impact on electoral commerce in Russia Moscow. By treating voter engagement as a measurable sales process – not mere campaigning – the campaign achieved unprecedented results that redefine political success metrics in the Russian context. The 68.4% market share represents not just an election win, but the establishment of a new benchmark for Politician performance nationwide. As stated by Volkov during his victory speech at Red Square: "This isn't about winning elections; it's about selling Moscow a better tomorrow." The data in this Sales Report proves that commitment to voter-centric sales strategy delivers tangible results in Russia Moscow's competitive political marketplace. We recommend institutionalizing this sales methodology as the standard operating procedure for all Politician campaigns across Russian federal regions.</w:t>
      </w:r>
    </w:p>
    <w:p>
      <w:pPr>
        <w:pStyle w:val="BodyText"/>
      </w:pPr>
      <w:r>
        <w:rPr>
          <w:bCs/>
          <w:b/>
        </w:rPr>
        <w:t xml:space="preserve">Prepared By:</w:t>
      </w:r>
      <w:r>
        <w:t xml:space="preserve"> </w:t>
      </w:r>
      <w:r>
        <w:t xml:space="preserve">Federal Sales Analytics Division, Moscow Office</w:t>
      </w:r>
      <w:r>
        <w:br/>
      </w:r>
      <w:r>
        <w:rPr>
          <w:bCs/>
          <w:b/>
        </w:rPr>
        <w:t xml:space="preserve">Report Validation:</w:t>
      </w:r>
      <w:r>
        <w:t xml:space="preserve"> </w:t>
      </w:r>
      <w:r>
        <w:t xml:space="preserve">Verified against Central Election Commission database (Ref: 2023-MOSCOW-SELECTIONS)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Politician Performance in Russia Moscow</dc:title>
  <dc:creator/>
  <dc:language>en</dc:language>
  <cp:keywords/>
  <dcterms:created xsi:type="dcterms:W3CDTF">2026-06-06T20:37:03Z</dcterms:created>
  <dcterms:modified xsi:type="dcterms:W3CDTF">2026-06-06T20:37:03Z</dcterms:modified>
</cp:coreProperties>
</file>

<file path=docProps/custom.xml><?xml version="1.0" encoding="utf-8"?>
<Properties xmlns="http://schemas.openxmlformats.org/officeDocument/2006/custom-properties" xmlns:vt="http://schemas.openxmlformats.org/officeDocument/2006/docPropsVTypes"/>
</file>