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w:t>
      </w:r>
      <w:r>
        <w:t xml:space="preserve"> </w:t>
      </w:r>
      <w:r>
        <w:t xml:space="preserve">Petersburg</w:t>
      </w:r>
      <w:r>
        <w:t xml:space="preserve"> </w:t>
      </w:r>
      <w:r>
        <w:t xml:space="preserve">Political</w:t>
      </w:r>
      <w:r>
        <w:t xml:space="preserve"> </w:t>
      </w:r>
      <w:r>
        <w:t xml:space="preserve">Campaign</w:t>
      </w:r>
      <w:r>
        <w:t xml:space="preserve"> </w:t>
      </w:r>
      <w:r>
        <w:t xml:space="preserve">Performance</w:t>
      </w:r>
      <w:r>
        <w:t xml:space="preserve"> </w:t>
      </w:r>
      <w:r>
        <w:t xml:space="preserve">Report:</w:t>
      </w:r>
      <w:r>
        <w:t xml:space="preserve"> </w:t>
      </w:r>
      <w:r>
        <w:t xml:space="preserve">Strategic</w:t>
      </w:r>
      <w:r>
        <w:t xml:space="preserve"> </w:t>
      </w:r>
      <w:r>
        <w:t xml:space="preserve">Engagement</w:t>
      </w:r>
      <w:r>
        <w:t xml:space="preserve"> </w:t>
      </w:r>
      <w:r>
        <w:t xml:space="preserve">Metrics</w:t>
      </w:r>
    </w:p>
    <w:bookmarkStart w:id="28" w:name="X8d05c394f0c50e203f82b64a86daa87e7489f01"/>
    <w:p>
      <w:pPr>
        <w:pStyle w:val="Heading1"/>
      </w:pPr>
      <w:r>
        <w:t xml:space="preserve">Political Campaign Performance Report: St. Petersburg Legislative Elections 2024</w:t>
      </w:r>
    </w:p>
    <w:bookmarkStart w:id="20" w:name="executive-summary"/>
    <w:p>
      <w:pPr>
        <w:pStyle w:val="Heading2"/>
      </w:pPr>
      <w:r>
        <w:t xml:space="preserve">Executive Summary</w:t>
      </w:r>
    </w:p>
    <w:p>
      <w:pPr>
        <w:pStyle w:val="FirstParagraph"/>
      </w:pPr>
      <w:r>
        <w:t xml:space="preserve">This document presents a comprehensive performance analysis of the political campaign led by Candidate Alexey Petrov for the Saint Petersburg City Council, focusing on voter engagement, policy alignment, and community outreach across Russia's second-largest city. Unlike traditional sales metrics in commercial sectors, this "sales report" evaluates political efficacy through voter acquisition rates, issue resonance metrics, and constituency trust indicators. The campaign achieved a 27% increase in registered supporter base across key districts of Saint Petersburg during the six-month electoral cycle (January–June 2024), demonstrating exceptional growth in historically competitive neighborhoods. This report details strategic approaches that converted political awareness into tangible voter commitment within Russia's complex urban governance landscape.</w:t>
      </w:r>
    </w:p>
    <w:bookmarkEnd w:id="20"/>
    <w:bookmarkStart w:id="21" w:name="X6520728f64b94c47fc6f2b1fc45db988f90c432"/>
    <w:p>
      <w:pPr>
        <w:pStyle w:val="Heading2"/>
      </w:pPr>
      <w:r>
        <w:t xml:space="preserve">Regional Context: Saint Petersburg Political Dynamics</w:t>
      </w:r>
    </w:p>
    <w:p>
      <w:pPr>
        <w:pStyle w:val="FirstParagraph"/>
      </w:pPr>
      <w:r>
        <w:t xml:space="preserve">St. Petersburg, with its 5.3 million residents and unique status as a cultural capital and major port city, presents distinct electoral challenges. The city's political environment emphasizes infrastructure development (notably the Neva River flood prevention system), historic preservation of architectural landmarks, and economic diversification beyond traditional manufacturing. Unlike Moscow-centric campaigns, Saint Petersburg constituents prioritize localized solutions—making "sales" of policy proposals contingent on hyperlocal relevance. Our analysis confirms that 83% of target voters in districts like Vasilyevsky Island and Kirovsky required demonstrable knowledge of municipal projects before endorsing candidates, directly influencing the campaign's engagement strategy.</w:t>
      </w:r>
    </w:p>
    <w:bookmarkEnd w:id="21"/>
    <w:bookmarkStart w:id="22" w:name="Xa939a0d09c277c0021e8c63f1105d24717f01b0"/>
    <w:p>
      <w:pPr>
        <w:pStyle w:val="Heading2"/>
      </w:pPr>
      <w:r>
        <w:t xml:space="preserve">Strategic Campaign Framework: "Solution-Centric Engagement"</w:t>
      </w:r>
    </w:p>
    <w:p>
      <w:pPr>
        <w:pStyle w:val="FirstParagraph"/>
      </w:pPr>
      <w:r>
        <w:t xml:space="preserve">Rather than transactional "sales" tactics, the campaign adopted a consultative engagement model where each voter interaction functioned as a "needs assessment." This approach transformed traditional political campaigning into an active dialogue—mirroring B2B sales methodologies but adapted for civic participation. Key innovations included:</w:t>
      </w:r>
    </w:p>
    <w:p>
      <w:pPr>
        <w:numPr>
          <w:ilvl w:val="0"/>
          <w:numId w:val="1001"/>
        </w:numPr>
        <w:pStyle w:val="Compact"/>
      </w:pPr>
      <w:r>
        <w:rPr>
          <w:bCs/>
          <w:b/>
        </w:rPr>
        <w:t xml:space="preserve">Neighborhood Policy Workshops:</w:t>
      </w:r>
      <w:r>
        <w:t xml:space="preserve"> </w:t>
      </w:r>
      <w:r>
        <w:t xml:space="preserve">47 town halls across 14 districts focused on district-specific issues (e.g., tram modernization in Petrogradsky, housing upgrades near Kazan Cathedral), generating a 68% retention rate of attendees as active supporters.</w:t>
      </w:r>
    </w:p>
    <w:p>
      <w:pPr>
        <w:numPr>
          <w:ilvl w:val="0"/>
          <w:numId w:val="1001"/>
        </w:numPr>
        <w:pStyle w:val="Compact"/>
      </w:pPr>
      <w:r>
        <w:rPr>
          <w:bCs/>
          <w:b/>
        </w:rPr>
        <w:t xml:space="preserve">Digital Trust Metrics:</w:t>
      </w:r>
      <w:r>
        <w:t xml:space="preserve"> </w:t>
      </w:r>
      <w:r>
        <w:t xml:space="preserve">Customized WhatsApp channels delivered real-time updates on Saint Petersburg infrastructure projects (e.g., the $1.2B Northern Sea Route expansion affecting local ports), driving a 34% increase in digital engagement versus baseline campaigns.</w:t>
      </w:r>
    </w:p>
    <w:p>
      <w:pPr>
        <w:numPr>
          <w:ilvl w:val="0"/>
          <w:numId w:val="1001"/>
        </w:numPr>
        <w:pStyle w:val="Compact"/>
      </w:pPr>
      <w:r>
        <w:rPr>
          <w:bCs/>
          <w:b/>
        </w:rPr>
        <w:t xml:space="preserve">Youth Policy Integration:</w:t>
      </w:r>
      <w:r>
        <w:t xml:space="preserve"> </w:t>
      </w:r>
      <w:r>
        <w:t xml:space="preserve">Partnership with Saint Petersburg State University for "Future City" hackathons addressing traffic congestion and green energy—directly engaging 12,000+ students as campaign advocates.</w:t>
      </w:r>
    </w:p>
    <w:bookmarkEnd w:id="22"/>
    <w:bookmarkStart w:id="23" w:name="quantitative-performance-indicators"/>
    <w:p>
      <w:pPr>
        <w:pStyle w:val="Heading2"/>
      </w:pPr>
      <w:r>
        <w:t xml:space="preserve">Quantitative Performance Indicators</w:t>
      </w:r>
    </w:p>
    <w:p>
      <w:pPr>
        <w:pStyle w:val="FirstParagraph"/>
      </w:pPr>
      <w:r>
        <w:t xml:space="preserve">The following metrics demonstrate how the candidate's messaging converted political interest into voter commitment across Saint Petersburg:</w:t>
      </w:r>
    </w:p>
    <w:p>
      <w:pPr>
        <w:pStyle w:val="BodyText"/>
      </w:pPr>
      <w:r>
        <w:t xml:space="preserve">KPI</w:t>
      </w:r>
    </w:p>
    <w:p>
      <w:pPr>
        <w:pStyle w:val="BodyText"/>
      </w:pPr>
      <w:r>
        <w:t xml:space="preserve">Current Campaign</w:t>
      </w:r>
    </w:p>
    <w:p>
      <w:pPr>
        <w:pStyle w:val="BodyText"/>
      </w:pPr>
      <w:r>
        <w:t xml:space="preserve">2023 Baseline</w:t>
      </w:r>
    </w:p>
    <w:p>
      <w:pPr>
        <w:pStyle w:val="BodyText"/>
      </w:pPr>
      <w:r>
        <w:t xml:space="preserve">Growth Rate</w:t>
      </w:r>
    </w:p>
    <w:p>
      <w:pPr>
        <w:pStyle w:val="BodyText"/>
      </w:pPr>
      <w:r>
        <w:t xml:space="preserve">Voter Contact Volume (St. Petersburg)</w:t>
      </w:r>
    </w:p>
    <w:p>
      <w:pPr>
        <w:pStyle w:val="BodyText"/>
      </w:pPr>
      <w:r>
        <w:t xml:space="preserve">14,780</w:t>
      </w:r>
    </w:p>
    <w:p>
      <w:pPr>
        <w:pStyle w:val="BodyText"/>
      </w:pPr>
      <w:r>
        <w:t xml:space="preserve">9,250</w:t>
      </w:r>
    </w:p>
    <w:p>
      <w:pPr>
        <w:pStyle w:val="BodyText"/>
      </w:pPr>
      <w:r>
        <w:t xml:space="preserve">+60%</w:t>
      </w:r>
    </w:p>
    <w:p>
      <w:pPr>
        <w:pStyle w:val="BodyText"/>
      </w:pPr>
      <w:r>
        <w:t xml:space="preserve">Policy Topic Resonance (e.g., "Neighborhood Traffic Solutions")</w:t>
      </w:r>
    </w:p>
    <w:p>
      <w:pPr>
        <w:numPr>
          <w:ilvl w:val="0"/>
          <w:numId w:val="1002"/>
        </w:numPr>
        <w:pStyle w:val="Compact"/>
      </w:pPr>
      <w:r>
        <w:t xml:space="preserve">Saint Petersburg Districts: 76% positive alignment score</w:t>
      </w:r>
    </w:p>
    <w:p>
      <w:pPr>
        <w:numPr>
          <w:ilvl w:val="0"/>
          <w:numId w:val="1002"/>
        </w:numPr>
        <w:pStyle w:val="Compact"/>
      </w:pPr>
      <w:r>
        <w:t xml:space="preserve">National Average: 42%</w:t>
      </w:r>
    </w:p>
    <w:p>
      <w:pPr>
        <w:pStyle w:val="FirstParagraph"/>
      </w:pPr>
      <w:r>
        <w:t xml:space="preserve">76%</w:t>
      </w:r>
    </w:p>
    <w:p>
      <w:pPr>
        <w:pStyle w:val="BodyText"/>
      </w:pPr>
      <w:r>
        <w:t xml:space="preserve">42%</w:t>
      </w:r>
    </w:p>
    <w:p>
      <w:pPr>
        <w:pStyle w:val="BodyText"/>
      </w:pPr>
      <w:r>
        <w:t xml:space="preserve">+76%</w:t>
      </w:r>
    </w:p>
    <w:p>
      <w:pPr>
        <w:pStyle w:val="BodyText"/>
      </w:pPr>
      <w:r>
        <w:t xml:space="preserve">Voter Retention Rate (Post-Event)</w:t>
      </w:r>
    </w:p>
    <w:p>
      <w:pPr>
        <w:pStyle w:val="BodyText"/>
      </w:pPr>
      <w:r>
        <w:t xml:space="preserve">89% (vs. 58% industry avg)</w:t>
      </w:r>
    </w:p>
    <w:bookmarkEnd w:id="23"/>
    <w:bookmarkStart w:id="24" w:name="Xc189aaac0fd943a5b758e600d9d001efaae4f65"/>
    <w:p>
      <w:pPr>
        <w:pStyle w:val="Heading2"/>
      </w:pPr>
      <w:r>
        <w:t xml:space="preserve">Policy Alignment Analysis: The "Value Proposition" for St. Petersburg</w:t>
      </w:r>
    </w:p>
    <w:p>
      <w:pPr>
        <w:pStyle w:val="FirstParagraph"/>
      </w:pPr>
      <w:r>
        <w:t xml:space="preserve">The campaign's most successful "sales pitch" centered on the candidate’s "Saint Petersburg First" policy package, which directly addressed city-specific pain points. Unlike generic national platforms, this package included:</w:t>
      </w:r>
    </w:p>
    <w:p>
      <w:pPr>
        <w:numPr>
          <w:ilvl w:val="0"/>
          <w:numId w:val="1003"/>
        </w:numPr>
        <w:pStyle w:val="Compact"/>
      </w:pPr>
      <w:r>
        <w:rPr>
          <w:bCs/>
          <w:b/>
        </w:rPr>
        <w:t xml:space="preserve">Moika River Infrastructure Renewal:</w:t>
      </w:r>
      <w:r>
        <w:t xml:space="preserve"> </w:t>
      </w:r>
      <w:r>
        <w:t xml:space="preserve">A $45M project for flood barriers and pedestrian zones—explicitly tied to St. Petersburg’s 2023 storm damage incidents.</w:t>
      </w:r>
    </w:p>
    <w:p>
      <w:pPr>
        <w:numPr>
          <w:ilvl w:val="0"/>
          <w:numId w:val="1003"/>
        </w:numPr>
        <w:pStyle w:val="Compact"/>
      </w:pPr>
      <w:r>
        <w:rPr>
          <w:bCs/>
          <w:b/>
        </w:rPr>
        <w:t xml:space="preserve">Heritage-Linked Economic Zones:</w:t>
      </w:r>
      <w:r>
        <w:t xml:space="preserve"> </w:t>
      </w:r>
      <w:r>
        <w:t xml:space="preserve">Designating historic districts (e.g., Nevsky Prospekt) for boutique business licensing, creating 1,800+ local jobs and boosting small business applications by 41%.</w:t>
      </w:r>
    </w:p>
    <w:p>
      <w:pPr>
        <w:numPr>
          <w:ilvl w:val="0"/>
          <w:numId w:val="1003"/>
        </w:numPr>
        <w:pStyle w:val="Compact"/>
      </w:pPr>
      <w:r>
        <w:rPr>
          <w:bCs/>
          <w:b/>
        </w:rPr>
        <w:t xml:space="preserve">University Partnership Pipeline:</w:t>
      </w:r>
      <w:r>
        <w:t xml:space="preserve"> </w:t>
      </w:r>
      <w:r>
        <w:t xml:space="preserve">Directing city budget allocations toward STEM apprenticeships at St. Petersburg’s 27 higher education institutions—addressing youth unemployment at its source.</w:t>
      </w:r>
    </w:p>
    <w:p>
      <w:pPr>
        <w:pStyle w:val="FirstParagraph"/>
      </w:pPr>
      <w:r>
        <w:t xml:space="preserve">Analysis confirms that policies demonstrating concrete St. Petersburg application (e.g., "How this fixes the tram delays near Gorky Park") achieved 3× higher voter conversion rates than abstract policy statements.</w:t>
      </w:r>
    </w:p>
    <w:bookmarkEnd w:id="24"/>
    <w:bookmarkStart w:id="25" w:name="challenges-and-strategic-adaptations"/>
    <w:p>
      <w:pPr>
        <w:pStyle w:val="Heading2"/>
      </w:pPr>
      <w:r>
        <w:t xml:space="preserve">Challenges and Strategic Adaptations</w:t>
      </w:r>
    </w:p>
    <w:p>
      <w:pPr>
        <w:pStyle w:val="FirstParagraph"/>
      </w:pPr>
      <w:r>
        <w:t xml:space="preserve">Key hurdles required agile repositioning of the political "sales" strategy. The emergence of a rival candidate emphasizing national security issues initially threatened to overshadow Saint Petersburg’s localized concerns. The campaign responded by:</w:t>
      </w:r>
    </w:p>
    <w:p>
      <w:pPr>
        <w:numPr>
          <w:ilvl w:val="0"/>
          <w:numId w:val="1004"/>
        </w:numPr>
        <w:pStyle w:val="Compact"/>
      </w:pPr>
      <w:r>
        <w:t xml:space="preserve">Producing district-specific infographics showing how local budget allocations would fund neighborhood security patrols (e.g., 200+ new officers in Primorsky District).</w:t>
      </w:r>
    </w:p>
    <w:p>
      <w:pPr>
        <w:numPr>
          <w:ilvl w:val="0"/>
          <w:numId w:val="1004"/>
        </w:numPr>
        <w:pStyle w:val="Compact"/>
      </w:pPr>
      <w:r>
        <w:t xml:space="preserve">Deploying "St. Petersburg Security Council" forums where residents co-designed community safety plans—transforming skepticism into active participation.</w:t>
      </w:r>
    </w:p>
    <w:p>
      <w:pPr>
        <w:pStyle w:val="FirstParagraph"/>
      </w:pPr>
      <w:r>
        <w:t xml:space="preserve">This adaptation prevented a potential 15-point drop in support, maintaining momentum during critical election phase.</w:t>
      </w:r>
    </w:p>
    <w:bookmarkEnd w:id="25"/>
    <w:bookmarkStart w:id="26" w:name="X2636267c14022b276b3e0c22078fbf08dc1ad43"/>
    <w:p>
      <w:pPr>
        <w:pStyle w:val="Heading2"/>
      </w:pPr>
      <w:r>
        <w:t xml:space="preserve">Recommendations for Future Political Campaigns</w:t>
      </w:r>
    </w:p>
    <w:p>
      <w:pPr>
        <w:pStyle w:val="FirstParagraph"/>
      </w:pPr>
      <w:r>
        <w:t xml:space="preserve">Based on Saint Petersburg’s unique political market dynamics, we recommend three strategic shifts for future campaigns:</w:t>
      </w:r>
    </w:p>
    <w:p>
      <w:pPr>
        <w:numPr>
          <w:ilvl w:val="0"/>
          <w:numId w:val="1005"/>
        </w:numPr>
        <w:pStyle w:val="Compact"/>
      </w:pPr>
      <w:r>
        <w:rPr>
          <w:bCs/>
          <w:b/>
        </w:rPr>
        <w:t xml:space="preserve">Hyperlocal Data Integration:</w:t>
      </w:r>
      <w:r>
        <w:t xml:space="preserve"> </w:t>
      </w:r>
      <w:r>
        <w:t xml:space="preserve">Embed real-time municipal data (e.g., traffic sensors in Liteyny District) into campaign materials to personalize "value propositions" for each neighborhood.</w:t>
      </w:r>
    </w:p>
    <w:p>
      <w:pPr>
        <w:numPr>
          <w:ilvl w:val="0"/>
          <w:numId w:val="1005"/>
        </w:numPr>
        <w:pStyle w:val="Compact"/>
      </w:pPr>
      <w:r>
        <w:rPr>
          <w:bCs/>
          <w:b/>
        </w:rPr>
        <w:t xml:space="preserve">Trust-Based Community Ambassadors:</w:t>
      </w:r>
      <w:r>
        <w:t xml:space="preserve"> </w:t>
      </w:r>
      <w:r>
        <w:t xml:space="preserve">Recruit respected St. Petersburg figures (historians, small business owners) as non-partisan advocates—proven to increase voter trust by 39% in our metrics.</w:t>
      </w:r>
    </w:p>
    <w:p>
      <w:pPr>
        <w:numPr>
          <w:ilvl w:val="0"/>
          <w:numId w:val="1005"/>
        </w:numPr>
        <w:pStyle w:val="Compact"/>
      </w:pPr>
      <w:r>
        <w:rPr>
          <w:bCs/>
          <w:b/>
        </w:rPr>
        <w:t xml:space="preserve">Sustainable Engagement Beyond Election Cycles:</w:t>
      </w:r>
      <w:r>
        <w:t xml:space="preserve"> </w:t>
      </w:r>
      <w:r>
        <w:t xml:space="preserve">Shift from "election sales" to "long-term community partnerships," evidenced by a 52% higher supporter retention when voters engaged pre-election through ongoing projects (e.g., neighborhood clean-up initiatives).</w:t>
      </w:r>
    </w:p>
    <w:bookmarkEnd w:id="26"/>
    <w:bookmarkStart w:id="27" w:name="conclusion"/>
    <w:p>
      <w:pPr>
        <w:pStyle w:val="Heading2"/>
      </w:pPr>
      <w:r>
        <w:t xml:space="preserve">Conclusion</w:t>
      </w:r>
    </w:p>
    <w:p>
      <w:pPr>
        <w:pStyle w:val="FirstParagraph"/>
      </w:pPr>
      <w:r>
        <w:t xml:space="preserve">This report demonstrates that effective political campaigns in Russia’s Saint Petersburg require moving beyond transactional "sales" rhetoric to build trust-based, solution-oriented relationships. The candidate’s focus on demonstrable outcomes for St. Petersburg residents—such as the Moika River flood barriers or Nevsky Prospekt economic zones—created a compelling "value proposition" that outperformed national political trends by 47%. In an urban ecosystem where governance directly impacts daily life from housing to cultural preservation, political efficacy is measured not in votes alone but in measurable community transformation. As Saint Petersburg continues its trajectory as Russia’s cultural and economic hub, this campaign model establishes a replicable framework for candidate "sales" success grounded in local reality rather than generic messaging.</w:t>
      </w:r>
    </w:p>
    <w:p>
      <w:pPr>
        <w:pStyle w:val="BodyText"/>
      </w:pPr>
      <w:r>
        <w:rPr>
          <w:iCs/>
          <w:i/>
        </w:rPr>
        <w:t xml:space="preserve">Report compiled by the St. Petersburg Civic Strategy Unit | July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Petersburg Political Campaign Performance Report: Strategic Engagement Metrics</dc:title>
  <dc:creator/>
  <dc:language>en</dc:language>
  <cp:keywords/>
  <dcterms:created xsi:type="dcterms:W3CDTF">2026-07-24T14:07:30Z</dcterms:created>
  <dcterms:modified xsi:type="dcterms:W3CDTF">2026-07-24T14:07:30Z</dcterms:modified>
</cp:coreProperties>
</file>

<file path=docProps/custom.xml><?xml version="1.0" encoding="utf-8"?>
<Properties xmlns="http://schemas.openxmlformats.org/officeDocument/2006/custom-properties" xmlns:vt="http://schemas.openxmlformats.org/officeDocument/2006/docPropsVTypes"/>
</file>