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Riyadh</w:t>
      </w:r>
      <w:r>
        <w:t xml:space="preserve"> </w:t>
      </w:r>
      <w:r>
        <w:t xml:space="preserve">Political</w:t>
      </w:r>
      <w:r>
        <w:t xml:space="preserve"> </w:t>
      </w:r>
      <w:r>
        <w:t xml:space="preserve">Engagement</w:t>
      </w:r>
      <w:r>
        <w:t xml:space="preserve"> </w:t>
      </w:r>
      <w:r>
        <w:t xml:space="preserve">Sales</w:t>
      </w:r>
      <w:r>
        <w:t xml:space="preserve"> </w:t>
      </w:r>
      <w:r>
        <w:t xml:space="preserve">Report:</w:t>
      </w:r>
      <w:r>
        <w:t xml:space="preserve"> </w:t>
      </w:r>
      <w:r>
        <w:t xml:space="preserve">Q3</w:t>
      </w:r>
      <w:r>
        <w:t xml:space="preserve"> </w:t>
      </w:r>
      <w:r>
        <w:t xml:space="preserve">2023</w:t>
      </w:r>
    </w:p>
    <w:bookmarkStart w:id="29" w:name="Xc09a7ea623964d54f29cde391b71cefb1a54b10"/>
    <w:p>
      <w:pPr>
        <w:pStyle w:val="Heading1"/>
      </w:pPr>
      <w:r>
        <w:t xml:space="preserve">Riyadh Political Engagement Sales Report: Q3 2023</w:t>
      </w:r>
    </w:p>
    <w:bookmarkStart w:id="28" w:name="Xe6505c8125a97dd7b7e2030f38e91c83b074790"/>
    <w:p>
      <w:pPr>
        <w:pStyle w:val="Heading2"/>
      </w:pPr>
      <w:r>
        <w:t xml:space="preserve">Prepared for the Office of Strategic Development, Kingdom of Saudi Arabia</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Strategic Communications Division, Riyadh Political Affairs Directorate</w:t>
      </w:r>
    </w:p>
    <w:bookmarkStart w:id="20" w:name="i.-executive-summary"/>
    <w:p>
      <w:pPr>
        <w:pStyle w:val="Heading3"/>
      </w:pPr>
      <w:r>
        <w:t xml:space="preserve">I. Executive Summary</w:t>
      </w:r>
    </w:p>
    <w:p>
      <w:pPr>
        <w:pStyle w:val="FirstParagraph"/>
      </w:pPr>
      <w:r>
        <w:t xml:space="preserve">This report details the strategic engagement metrics and public perception outcomes of His Excellency Sheikh Abdullah Al-Rashid, a prominent political figure in the Kingdom's Vision 2030 implementation framework. During Q3 2023, his initiative portfolio achieved remarkable success in Riyadh—securing unprecedented public support through culturally nuanced communication strategies that align with Saudi Arabia's socio-economic transformation goals. The engagement campaign generated a 47% increase in community trust metrics and positioned the politician as a key catalyst for regional development, directly contributing to the Kingdom's broader national objectives.</w:t>
      </w:r>
    </w:p>
    <w:bookmarkEnd w:id="20"/>
    <w:bookmarkStart w:id="21" w:name="X4f8749c627950e24d957510c77aa42387c60bc6"/>
    <w:p>
      <w:pPr>
        <w:pStyle w:val="Heading3"/>
      </w:pPr>
      <w:r>
        <w:t xml:space="preserve">II. Strategic Context: Political Landscape in Riyadh</w:t>
      </w:r>
    </w:p>
    <w:p>
      <w:pPr>
        <w:pStyle w:val="FirstParagraph"/>
      </w:pPr>
      <w:r>
        <w:t xml:space="preserve">Riyadh serves as the political nerve center of Saudi Arabia, where governmental decisions directly influence 68% of national development initiatives. As the capital city and economic hub, Riyadh's political environment demands precision in stakeholder engagement—requiring alignment with Vision 2030 pillars including economic diversification, youth empowerment, and women's participation. His Excellency Sheikh Al-Rashid's campaign strategically focused on these priorities through localized community dialogues (78% attendance rate at Riyadh-based forums), digital outreach via Saudi-centric platforms (Najm app), and public-private partnerships with the Ministry of Investment.</w:t>
      </w:r>
    </w:p>
    <w:bookmarkEnd w:id="21"/>
    <w:bookmarkStart w:id="22" w:name="Xea2a3611f47753e3493ef3b944976675a34fb3e"/>
    <w:p>
      <w:pPr>
        <w:pStyle w:val="Heading3"/>
      </w:pPr>
      <w:r>
        <w:t xml:space="preserve">III. Sales Performance Metrics: Political Engagement as "Product"</w:t>
      </w:r>
    </w:p>
    <w:p>
      <w:pPr>
        <w:pStyle w:val="FirstParagraph"/>
      </w:pPr>
      <w:r>
        <w:rPr>
          <w:iCs/>
          <w:i/>
        </w:rPr>
        <w:t xml:space="preserve">Key Insight:</w:t>
      </w:r>
      <w:r>
        <w:t xml:space="preserve"> </w:t>
      </w:r>
      <w:r>
        <w:t xml:space="preserve">In the Kingdom's context, a politician's "sales" equate to successfully positioning policy agendas as solutions to public needs—measured by trust metrics, community adoption rates, and media resonance.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Q2 2023</w:t>
            </w:r>
          </w:p>
        </w:tc>
        <w:tc>
          <w:tcPr/>
          <w:p>
            <w:pPr>
              <w:pStyle w:val="Compact"/>
              <w:jc w:val="left"/>
            </w:pPr>
            <w:r>
              <w:t xml:space="preserve">Q3 2023</w:t>
            </w:r>
          </w:p>
        </w:tc>
        <w:tc>
          <w:tcPr/>
          <w:p>
            <w:pPr>
              <w:pStyle w:val="Compact"/>
              <w:jc w:val="left"/>
            </w:pPr>
            <w:r>
              <w:t xml:space="preserve">Growth</w:t>
            </w:r>
          </w:p>
        </w:tc>
      </w:tr>
      <w:tr>
        <w:tc>
          <w:tcPr/>
          <w:p>
            <w:pPr>
              <w:pStyle w:val="Compact"/>
              <w:jc w:val="left"/>
            </w:pPr>
            <w:r>
              <w:t xml:space="preserve">Public Trust Index (Riyadh)</w:t>
            </w:r>
          </w:p>
        </w:tc>
        <w:tc>
          <w:tcPr/>
          <w:p>
            <w:pPr>
              <w:pStyle w:val="Compact"/>
              <w:jc w:val="left"/>
            </w:pPr>
            <w:r>
              <w:t xml:space="preserve">58%</w:t>
            </w:r>
          </w:p>
        </w:tc>
        <w:tc>
          <w:tcPr/>
          <w:p>
            <w:pPr>
              <w:pStyle w:val="Compact"/>
              <w:jc w:val="left"/>
            </w:pPr>
            <w:r>
              <w:t xml:space="preserve">74%</w:t>
            </w:r>
          </w:p>
        </w:tc>
        <w:tc>
          <w:tcPr/>
          <w:p>
            <w:pPr>
              <w:pStyle w:val="Compact"/>
              <w:jc w:val="left"/>
            </w:pPr>
            <w:r>
              <w:t xml:space="preserve">+16% (National Avg: +8%)</w:t>
            </w:r>
          </w:p>
        </w:tc>
      </w:tr>
      <w:tr>
        <w:tc>
          <w:tcPr/>
          <w:p>
            <w:pPr>
              <w:pStyle w:val="Compact"/>
              <w:jc w:val="left"/>
            </w:pPr>
            <w:r>
              <w:t xml:space="preserve">Policy Adoption Rate</w:t>
            </w:r>
          </w:p>
        </w:tc>
        <w:tc>
          <w:tcPr/>
          <w:p>
            <w:pPr>
              <w:pStyle w:val="Compact"/>
              <w:jc w:val="left"/>
            </w:pPr>
            <w:r>
              <w:t xml:space="preserve">32%</w:t>
            </w:r>
          </w:p>
        </w:tc>
        <w:tc>
          <w:tcPr/>
          <w:p>
            <w:pPr>
              <w:pStyle w:val="Compact"/>
              <w:jc w:val="left"/>
            </w:pPr>
            <w:r>
              <w:t xml:space="preserve">61%</w:t>
            </w:r>
          </w:p>
        </w:tc>
        <w:tc>
          <w:tcPr/>
          <w:p>
            <w:pPr>
              <w:pStyle w:val="Compact"/>
              <w:jc w:val="left"/>
            </w:pPr>
            <w:r>
              <w:t xml:space="preserve">+29% (Focus: SME support initiatives)</w:t>
            </w:r>
          </w:p>
        </w:tc>
      </w:tr>
      <w:tr>
        <w:tc>
          <w:tcPr/>
          <w:p>
            <w:pPr>
              <w:pStyle w:val="Compact"/>
              <w:jc w:val="left"/>
            </w:pPr>
            <w:r>
              <w:t xml:space="preserve">Social Media Engagement (Saudi Platforms)</w:t>
            </w:r>
          </w:p>
        </w:tc>
        <w:tc>
          <w:tcPr/>
          <w:p>
            <w:pPr>
              <w:pStyle w:val="Compact"/>
              <w:jc w:val="left"/>
            </w:pPr>
            <w:r>
              <w:t xml:space="preserve">4,800 interactions/week</w:t>
            </w:r>
          </w:p>
        </w:tc>
        <w:tc>
          <w:tcPr/>
          <w:p>
            <w:pPr>
              <w:pStyle w:val="Compact"/>
              <w:jc w:val="left"/>
            </w:pPr>
            <w:r>
              <w:t xml:space="preserve">18,500 interactions/week</w:t>
            </w:r>
          </w:p>
        </w:tc>
        <w:tc>
          <w:tcPr/>
          <w:p>
            <w:pPr>
              <w:pStyle w:val="Compact"/>
              <w:jc w:val="left"/>
            </w:pPr>
            <w:r>
              <w:t xml:space="preserve">+285%</w:t>
            </w:r>
          </w:p>
        </w:tc>
      </w:tr>
      <w:tr>
        <w:tc>
          <w:tcPr/>
          <w:p>
            <w:pPr>
              <w:pStyle w:val="Compact"/>
              <w:jc w:val="left"/>
            </w:pPr>
            <w:r>
              <w:t xml:space="preserve">Community Forum Attendance (Riyadh)</w:t>
            </w:r>
          </w:p>
        </w:tc>
        <w:tc>
          <w:tcPr/>
          <w:p>
            <w:pPr>
              <w:pStyle w:val="Compact"/>
              <w:jc w:val="left"/>
            </w:pPr>
            <w:r>
              <w:t xml:space="preserve">124 attendees/session</w:t>
            </w:r>
          </w:p>
        </w:tc>
        <w:tc>
          <w:tcPr/>
          <w:p>
            <w:pPr>
              <w:pStyle w:val="Compact"/>
              <w:jc w:val="left"/>
            </w:pPr>
            <w:r>
              <w:t xml:space="preserve">397 attendees/session</w:t>
            </w:r>
          </w:p>
        </w:tc>
        <w:tc>
          <w:tcPr/>
          <w:p>
            <w:pPr>
              <w:pStyle w:val="Compact"/>
              <w:jc w:val="left"/>
            </w:pPr>
            <w:r>
              <w:t xml:space="preserve">+219%</w:t>
            </w:r>
          </w:p>
        </w:tc>
      </w:tr>
    </w:tbl>
    <w:bookmarkEnd w:id="22"/>
    <w:bookmarkStart w:id="23" w:name="Xe09e635f4a434dabfbf74464fe8df5d4dcc6918"/>
    <w:p>
      <w:pPr>
        <w:pStyle w:val="Heading3"/>
      </w:pPr>
      <w:r>
        <w:t xml:space="preserve">IV. Riyadh-Specific Sales Strategies Driving Results</w:t>
      </w:r>
    </w:p>
    <w:p>
      <w:pPr>
        <w:pStyle w:val="FirstParagraph"/>
      </w:pPr>
      <w:r>
        <w:rPr>
          <w:bCs/>
          <w:b/>
        </w:rPr>
        <w:t xml:space="preserve">Localized Cultural Integration:</w:t>
      </w:r>
      <w:r>
        <w:t xml:space="preserve"> </w:t>
      </w:r>
      <w:r>
        <w:t xml:space="preserve">All communications were crafted in formal Modern Standard Arabic with contextual references to Riyadh's heritage (e.g., "The spirit of Diriyah lives in our new investment parks"). Campaign materials avoided generic messaging, instead featuring visual narratives of Riyadh neighborhoods like Al-Muhammadiyah and King Abdullah Financial District—directly linking policy benefits to residents' daily lives.</w:t>
      </w:r>
    </w:p>
    <w:p>
      <w:pPr>
        <w:pStyle w:val="BodyText"/>
      </w:pPr>
      <w:r>
        <w:rPr>
          <w:bCs/>
          <w:b/>
        </w:rPr>
        <w:t xml:space="preserve">Public-Private Partnership Engine:</w:t>
      </w:r>
      <w:r>
        <w:t xml:space="preserve"> </w:t>
      </w:r>
      <w:r>
        <w:t xml:space="preserve">Collaborated with Riyadh Development Authority (RDA) to co-host "Vision 2030 Impact Tours" at major landmarks (King Abdulaziz Historical Center, Riyadh Front). These events converted 76% of attendees into policy advocates—surpassing the national average by 38%. The politician's active participation in RDA's youth entrepreneurship programs secured direct endorsements from 14 community leaders.</w:t>
      </w:r>
    </w:p>
    <w:p>
      <w:pPr>
        <w:pStyle w:val="BodyText"/>
      </w:pPr>
      <w:r>
        <w:rPr>
          <w:bCs/>
          <w:b/>
        </w:rPr>
        <w:t xml:space="preserve">Media Ecosystem Optimization:</w:t>
      </w:r>
      <w:r>
        <w:t xml:space="preserve"> </w:t>
      </w:r>
      <w:r>
        <w:t xml:space="preserve">Leveraged Saudi media channels (Al-Eqtisadiah, SBC) for targeted content—not just news coverage but educational segments. A Ramadan special program "Riyadh’s Economic Roadmap" achieved 89% viewership among Riyadh households aged 25-45, the core demographic for economic policy adoption.</w:t>
      </w:r>
    </w:p>
    <w:bookmarkEnd w:id="23"/>
    <w:bookmarkStart w:id="24" w:name="Xdd05f691b7c33248817c00239dc1b36b7288bfb"/>
    <w:p>
      <w:pPr>
        <w:pStyle w:val="Heading3"/>
      </w:pPr>
      <w:r>
        <w:t xml:space="preserve">V. Competitive Differentiation in Riyadh's Political Market</w:t>
      </w:r>
    </w:p>
    <w:p>
      <w:pPr>
        <w:pStyle w:val="FirstParagraph"/>
      </w:pPr>
      <w:r>
        <w:t xml:space="preserve">While other political figures focus on national campaigns, Sheikh Al-Rashid's strategy centered exclusively on Riyadh's unique dynamics:</w:t>
      </w:r>
    </w:p>
    <w:p>
      <w:pPr>
        <w:numPr>
          <w:ilvl w:val="0"/>
          <w:numId w:val="1001"/>
        </w:numPr>
        <w:pStyle w:val="Compact"/>
      </w:pPr>
      <w:r>
        <w:rPr>
          <w:bCs/>
          <w:b/>
        </w:rPr>
        <w:t xml:space="preserve">Hyperlocal Problem-Solving:</w:t>
      </w:r>
      <w:r>
        <w:t xml:space="preserve"> </w:t>
      </w:r>
      <w:r>
        <w:t xml:space="preserve">Addressed specific issues like traffic congestion in Diplomatic Quarter (via new metro extensions) and water conservation in Hittin area—making policy feel tangible.</w:t>
      </w:r>
    </w:p>
    <w:p>
      <w:pPr>
        <w:numPr>
          <w:ilvl w:val="0"/>
          <w:numId w:val="1001"/>
        </w:numPr>
        <w:pStyle w:val="Compact"/>
      </w:pPr>
      <w:r>
        <w:rPr>
          <w:bCs/>
          <w:b/>
        </w:rPr>
        <w:t xml:space="preserve">Cultural Resonance:</w:t>
      </w:r>
      <w:r>
        <w:t xml:space="preserve"> </w:t>
      </w:r>
      <w:r>
        <w:t xml:space="preserve">Partnered with Riyadh-based religious scholars for "Policy &amp; Faith" dialogues at Al-Rashid Mosque, aligning initiatives with Islamic governance principles as emphasized in Saudi Arabia's Basic Law.</w:t>
      </w:r>
    </w:p>
    <w:p>
      <w:pPr>
        <w:numPr>
          <w:ilvl w:val="0"/>
          <w:numId w:val="1001"/>
        </w:numPr>
        <w:pStyle w:val="Compact"/>
      </w:pPr>
      <w:r>
        <w:rPr>
          <w:bCs/>
          <w:b/>
        </w:rPr>
        <w:t xml:space="preserve">Women-Centric Engagement:</w:t>
      </w:r>
      <w:r>
        <w:t xml:space="preserve"> </w:t>
      </w:r>
      <w:r>
        <w:t xml:space="preserve">63% of community forums included female participants (vs. national average 42%), reflecting the politician's commitment to Vision 2030's gender equality targets—a critical differentiator in Riyadh's evolving society.</w:t>
      </w:r>
    </w:p>
    <w:bookmarkEnd w:id="24"/>
    <w:bookmarkStart w:id="25" w:name="vi.-challenges-and-adaptive-solutions"/>
    <w:p>
      <w:pPr>
        <w:pStyle w:val="Heading3"/>
      </w:pPr>
      <w:r>
        <w:t xml:space="preserve">VI. Challenges and Adaptive Solutions</w:t>
      </w:r>
    </w:p>
    <w:p>
      <w:pPr>
        <w:pStyle w:val="FirstParagraph"/>
      </w:pPr>
      <w:r>
        <w:rPr>
          <w:iCs/>
          <w:i/>
        </w:rPr>
        <w:t xml:space="preserve">Challenge:</w:t>
      </w:r>
      <w:r>
        <w:t xml:space="preserve"> </w:t>
      </w:r>
      <w:r>
        <w:t xml:space="preserve">Initial skepticism about "political sales" among traditional Saudi stakeholders who viewed engagement as purely transactional.</w:t>
      </w:r>
    </w:p>
    <w:p>
      <w:pPr>
        <w:pStyle w:val="BodyText"/>
      </w:pPr>
      <w:r>
        <w:rPr>
          <w:iCs/>
          <w:i/>
        </w:rPr>
        <w:t xml:space="preserve">Solution:</w:t>
      </w:r>
      <w:r>
        <w:t xml:space="preserve"> </w:t>
      </w:r>
      <w:r>
        <w:t xml:space="preserve">Reframed all outreach around the Kingdom's national success narrative—"Your support for Riyadh’s growth is your investment in Saudi Arabia’s future." This shifted perception from "selling policies" to "co-creating progress," increasing stakeholder buy-in by 51%.</w:t>
      </w:r>
    </w:p>
    <w:bookmarkEnd w:id="25"/>
    <w:bookmarkStart w:id="26" w:name="vii.-future-sales-roadmap-riyadh-2024"/>
    <w:p>
      <w:pPr>
        <w:pStyle w:val="Heading3"/>
      </w:pPr>
      <w:r>
        <w:t xml:space="preserve">VII. Future Sales Roadmap: Riyadh 2024</w:t>
      </w:r>
    </w:p>
    <w:p>
      <w:pPr>
        <w:pStyle w:val="FirstParagraph"/>
      </w:pPr>
      <w:r>
        <w:t xml:space="preserve">Building on Q3 success, the following initiatives will be prioritized:</w:t>
      </w:r>
    </w:p>
    <w:p>
      <w:pPr>
        <w:numPr>
          <w:ilvl w:val="0"/>
          <w:numId w:val="1002"/>
        </w:numPr>
        <w:pStyle w:val="Compact"/>
      </w:pPr>
      <w:r>
        <w:rPr>
          <w:bCs/>
          <w:b/>
        </w:rPr>
        <w:t xml:space="preserve">Riyadh Innovation Hub Launch (Q1 2024):</w:t>
      </w:r>
      <w:r>
        <w:t xml:space="preserve"> </w:t>
      </w:r>
      <w:r>
        <w:t xml:space="preserve">Co-developed with Riyadh Tech Valley to position the politician as a catalyst for tech-driven economic diversification. Target: 50+ startups secured by Q3.</w:t>
      </w:r>
    </w:p>
    <w:p>
      <w:pPr>
        <w:numPr>
          <w:ilvl w:val="0"/>
          <w:numId w:val="1002"/>
        </w:numPr>
        <w:pStyle w:val="Compact"/>
      </w:pPr>
      <w:r>
        <w:rPr>
          <w:bCs/>
          <w:b/>
        </w:rPr>
        <w:t xml:space="preserve">Community Ambassador Program:</w:t>
      </w:r>
      <w:r>
        <w:t xml:space="preserve"> </w:t>
      </w:r>
      <w:r>
        <w:t xml:space="preserve">Training 500 Riyadh residents (including elders and youth) as policy advocates—scaling grassroots influence beyond events.</w:t>
      </w:r>
    </w:p>
    <w:p>
      <w:pPr>
        <w:numPr>
          <w:ilvl w:val="0"/>
          <w:numId w:val="1002"/>
        </w:numPr>
        <w:pStyle w:val="Compact"/>
      </w:pPr>
      <w:r>
        <w:rPr>
          <w:bCs/>
          <w:b/>
        </w:rPr>
        <w:t xml:space="preserve">Quarterly "Vision Impact" Reports:</w:t>
      </w:r>
      <w:r>
        <w:t xml:space="preserve"> </w:t>
      </w:r>
      <w:r>
        <w:t xml:space="preserve">Publishing transparent metrics on how community engagement directly affects Riyadh's development (e.g., "Your forum attendance contributed to 12 new healthcare centers").</w:t>
      </w:r>
    </w:p>
    <w:bookmarkEnd w:id="26"/>
    <w:bookmarkStart w:id="27" w:name="X21d98fc840d558ac3d4badfb7bf7a74dbad0ec5"/>
    <w:p>
      <w:pPr>
        <w:pStyle w:val="Heading3"/>
      </w:pPr>
      <w:r>
        <w:t xml:space="preserve">VIII. Conclusion: Political Engagement as Strategic Sales Excellence</w:t>
      </w:r>
    </w:p>
    <w:p>
      <w:pPr>
        <w:pStyle w:val="FirstParagraph"/>
      </w:pPr>
      <w:r>
        <w:t xml:space="preserve">This report confirms that in Saudi Arabia's evolving political landscape, successful engagement operates as a high-value sales process—where the "product" is national progress and the "customer" is Riyadh's community. Sheikh Al-Rashid’s Q3 performance demonstrates how culturally intelligent, data-driven political marketing directly accelerates Vision 2030 implementation. His approach has not only elevated public trust but also established Riyadh as a model for nationwide political engagement strategies across Saudi Arabia.</w:t>
      </w:r>
    </w:p>
    <w:p>
      <w:pPr>
        <w:pStyle w:val="BodyText"/>
      </w:pPr>
      <w:r>
        <w:t xml:space="preserve">As the Kingdom advances toward its 2030 goals, this report underscores that the most effective politicians in Riyadh are those who master the art of "selling" community partnership—not just policies. The data is clear: When political initiatives resonate with local identity and deliver visible results, public support becomes a sustainable growth engine for Saudi Arabia's future.</w:t>
      </w:r>
    </w:p>
    <w:p>
      <w:pPr>
        <w:pStyle w:val="BodyText"/>
      </w:pPr>
      <w:r>
        <w:rPr>
          <w:bCs/>
          <w:b/>
        </w:rPr>
        <w:t xml:space="preserve">Prepared By:</w:t>
      </w:r>
      <w:r>
        <w:t xml:space="preserve"> </w:t>
      </w:r>
      <w:r>
        <w:t xml:space="preserve">Dr. Layan Al-Harbi, Senior Political Strategist</w:t>
      </w:r>
      <w:r>
        <w:br/>
      </w:r>
      <w:r>
        <w:rPr>
          <w:bCs/>
          <w:b/>
        </w:rPr>
        <w:t xml:space="preserve">For Inquiries:</w:t>
      </w:r>
      <w:r>
        <w:t xml:space="preserve"> </w:t>
      </w:r>
      <w:r>
        <w:t xml:space="preserve">Riyadh.PoliticalStrategy@kacst.gov.sa | +966 11 400 5577</w:t>
      </w:r>
    </w:p>
    <w:p>
      <w:pPr>
        <w:pStyle w:val="BodyText"/>
      </w:pPr>
      <w:r>
        <w:rPr>
          <w:iCs/>
          <w:i/>
        </w:rPr>
        <w:t xml:space="preserve">Note: All data validated by Saudi Central Bank (SAMA) and Riyad Municipal Authority. Compliance with Saudi Arabia's Political Communication Guidelines (2022) confirmed.</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Riyadh Political Engagement Sales Report: Q3 2023</dc:title>
  <dc:creator/>
  <dc:language>en</dc:language>
  <cp:keywords/>
  <dcterms:created xsi:type="dcterms:W3CDTF">2026-07-23T16:22:55Z</dcterms:created>
  <dcterms:modified xsi:type="dcterms:W3CDTF">2026-07-23T16:22:55Z</dcterms:modified>
</cp:coreProperties>
</file>

<file path=docProps/custom.xml><?xml version="1.0" encoding="utf-8"?>
<Properties xmlns="http://schemas.openxmlformats.org/officeDocument/2006/custom-properties" xmlns:vt="http://schemas.openxmlformats.org/officeDocument/2006/docPropsVTypes"/>
</file>