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Political</w:t>
      </w:r>
      <w:r>
        <w:t xml:space="preserve"> </w:t>
      </w:r>
      <w:r>
        <w:t xml:space="preserve">Campaign</w:t>
      </w:r>
      <w:r>
        <w:t xml:space="preserve"> </w:t>
      </w:r>
      <w:r>
        <w:t xml:space="preserve">Sales</w:t>
      </w:r>
      <w:r>
        <w:t xml:space="preserve"> </w:t>
      </w:r>
      <w:r>
        <w:t xml:space="preserve">Report</w:t>
      </w:r>
    </w:p>
    <w:bookmarkStart w:id="28" w:name="Xbdbe2bc31fd68cb9454a6626f8fdd49efbb552a"/>
    <w:p>
      <w:pPr>
        <w:pStyle w:val="Heading1"/>
      </w:pPr>
      <w:r>
        <w:t xml:space="preserve">Comprehensive Sales Report: Political Campaign Performance in South Korea Seoul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National Policy Advisory Council</w:t>
      </w:r>
    </w:p>
    <w:p>
      <w:pPr>
        <w:pStyle w:val="BodyText"/>
      </w:pPr>
      <w:r>
        <w:rPr>
          <w:iCs/>
          <w:i/>
        </w:rPr>
        <w:t xml:space="preserve">This Sales Report details the electoral campaign performance metrics of the Honorable Candidate Kim Joon-ho, focusing specifically on Seoul's political market dynamics. All data represents verified constituency engagement across Seoul's 25 districts.</w:t>
      </w:r>
    </w:p>
    <w:bookmarkStart w:id="20" w:name="executive-summary"/>
    <w:p>
      <w:pPr>
        <w:pStyle w:val="Heading2"/>
      </w:pPr>
      <w:r>
        <w:t xml:space="preserve">Executive Summary</w:t>
      </w:r>
    </w:p>
    <w:p>
      <w:pPr>
        <w:pStyle w:val="FirstParagraph"/>
      </w:pPr>
      <w:r>
        <w:t xml:space="preserve">The Q3 2023 Sales Report confirms that Politician Candidate Kim Joon-ho has achieved unprecedented momentum in South Korea Seoul's political landscape. With a 68.4% voter support surge in key districts and a 170% increase in campaign donations compared to Q2, this report establishes concrete evidence of Seoul's shifting political economy. The data demonstrates that modern electoral campaigns operate as high-stakes commercial enterprises within South Korea's urban centers, where "sales" equate to voter acquisition and policy adoption. This document validates the strategic imperative for all future Politician campaigns to adopt business-grade analytics when targeting Seoul's 10 million residents.</w:t>
      </w:r>
    </w:p>
    <w:bookmarkEnd w:id="20"/>
    <w:bookmarkStart w:id="22" w:name="X74ce7d124a7f9069c8b3036a73e8260d7866611"/>
    <w:p>
      <w:pPr>
        <w:pStyle w:val="Heading2"/>
      </w:pPr>
      <w:r>
        <w:t xml:space="preserve">Market Analysis: Seoul Political Landscape</w:t>
      </w:r>
    </w:p>
    <w:p>
      <w:pPr>
        <w:pStyle w:val="FirstParagraph"/>
      </w:pPr>
      <w:r>
        <w:t xml:space="preserve">Seoul represents South Korea's economic nucleus, contributing 28% of national GDP and housing 45% of the country's political decision-makers. Our Sales Report reveals that traditional campaign methods have been superseded by data-driven voter engagement strategies. The Seoul constituency has evolved into a sophisticated marketplace where voters purchase policy solutions rather than party affiliations. This shift necessitates that every Politician must approach election cycles with an enterprise mindset, treating each precinct as a distinct sales territory.</w:t>
      </w:r>
    </w:p>
    <w:bookmarkStart w:id="21" w:name="key-performance-indicators"/>
    <w:p>
      <w:pPr>
        <w:pStyle w:val="Heading3"/>
      </w:pPr>
      <w:r>
        <w:t xml:space="preserve">Key Performance Indicators</w:t>
      </w:r>
    </w:p>
    <w:p>
      <w:pPr>
        <w:pStyle w:val="FirstParagraph"/>
      </w:pPr>
      <w:r>
        <w:t xml:space="preserve">Metrics</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Voter Support (Seoul)</w:t>
      </w:r>
    </w:p>
    <w:p>
      <w:pPr>
        <w:pStyle w:val="BodyText"/>
      </w:pPr>
      <w:r>
        <w:t xml:space="preserve">41.7%</w:t>
      </w:r>
    </w:p>
    <w:p>
      <w:pPr>
        <w:pStyle w:val="BodyText"/>
      </w:pPr>
      <w:r>
        <w:t xml:space="preserve">68.4%</w:t>
      </w:r>
    </w:p>
    <w:p>
      <w:pPr>
        <w:pStyle w:val="BodyText"/>
      </w:pPr>
      <w:r>
        <w:t xml:space="preserve">+65.0%</w:t>
      </w:r>
    </w:p>
    <w:p>
      <w:pPr>
        <w:pStyle w:val="BodyText"/>
      </w:pPr>
      <w:r>
        <w:t xml:space="preserve">Donation Revenue</w:t>
      </w:r>
    </w:p>
    <w:p>
      <w:pPr>
        <w:pStyle w:val="BodyText"/>
      </w:pPr>
      <w:r>
        <w:t xml:space="preserve">₩235M</w:t>
      </w:r>
    </w:p>
    <w:p>
      <w:pPr>
        <w:pStyle w:val="BodyText"/>
      </w:pPr>
      <w:r>
        <w:t xml:space="preserve">&lt;</w:t>
      </w:r>
    </w:p>
    <w:p>
      <w:pPr>
        <w:pStyle w:val="BodyText"/>
      </w:pPr>
      <w:r>
        <w:t xml:space="preserve">₩638M</w:t>
      </w:r>
    </w:p>
    <w:p>
      <w:pPr>
        <w:pStyle w:val="BodyText"/>
      </w:pPr>
      <w:r>
        <w:t xml:space="preserve">District Event Attendance (Avg.)</w:t>
      </w:r>
    </w:p>
    <w:p>
      <w:pPr>
        <w:pStyle w:val="BodyText"/>
      </w:pPr>
      <w:r>
        <w:t xml:space="preserve">420/person</w:t>
      </w:r>
    </w:p>
    <w:p>
      <w:pPr>
        <w:pStyle w:val="BodyText"/>
      </w:pPr>
      <w:r>
        <w:t xml:space="preserve">980/person</w:t>
      </w:r>
    </w:p>
    <w:p>
      <w:pPr>
        <w:pStyle w:val="BodyText"/>
      </w:pPr>
      <w:r>
        <w:t xml:space="preserve">+133.3%</w:t>
      </w:r>
    </w:p>
    <w:p>
      <w:pPr>
        <w:pStyle w:val="BodyText"/>
      </w:pPr>
      <w:r>
        <w:t xml:space="preserve">Social Media Engagement Rate (Seoul)</w:t>
      </w:r>
    </w:p>
    <w:p>
      <w:pPr>
        <w:pStyle w:val="BodyText"/>
      </w:pPr>
      <w:r>
        <w:t xml:space="preserve">12.6%</w:t>
      </w:r>
    </w:p>
    <w:bookmarkEnd w:id="21"/>
    <w:bookmarkEnd w:id="22"/>
    <w:bookmarkStart w:id="23" w:name="X6c23f003b75eae756e3edfdeb90045c4cea9201"/>
    <w:p>
      <w:pPr>
        <w:pStyle w:val="Heading2"/>
      </w:pPr>
      <w:r>
        <w:t xml:space="preserve">District-Level Sales Performance in Seoul</w:t>
      </w:r>
    </w:p>
    <w:p>
      <w:pPr>
        <w:pStyle w:val="FirstParagraph"/>
      </w:pPr>
      <w:r>
        <w:t xml:space="preserve">Our Sales Report breaks down campaign efficacy across Seoul's administrative zones, revealing critical regional patterns:</w:t>
      </w:r>
    </w:p>
    <w:p>
      <w:pPr>
        <w:numPr>
          <w:ilvl w:val="0"/>
          <w:numId w:val="1001"/>
        </w:numPr>
        <w:pStyle w:val="Compact"/>
      </w:pPr>
      <w:r>
        <w:rPr>
          <w:bCs/>
          <w:b/>
        </w:rPr>
        <w:t xml:space="preserve">Jung District (Financial Hub):</w:t>
      </w:r>
      <w:r>
        <w:t xml:space="preserve"> </w:t>
      </w:r>
      <w:r>
        <w:t xml:space="preserve">Highest donation conversion rate at 78.4%, with 65% of donors being under-35 entrepreneurs. This district represents a premium market segment where policy "products" must demonstrate immediate economic ROI.</w:t>
      </w:r>
    </w:p>
    <w:p>
      <w:pPr>
        <w:numPr>
          <w:ilvl w:val="0"/>
          <w:numId w:val="1001"/>
        </w:numPr>
        <w:pStyle w:val="Compact"/>
      </w:pPr>
      <w:r>
        <w:rPr>
          <w:bCs/>
          <w:b/>
        </w:rPr>
        <w:t xml:space="preserve">Gangnam District (Elite Residence):</w:t>
      </w:r>
      <w:r>
        <w:t xml:space="preserve"> </w:t>
      </w:r>
      <w:r>
        <w:t xml:space="preserve">92% voter recognition achieved through personalized policy briefings. The Sales Report indicates that high-net-worth voters in Gangnam treat electoral participation as a portfolio investment, demanding data-backed proposals for urban infrastructure and education reform.</w:t>
      </w:r>
    </w:p>
    <w:p>
      <w:pPr>
        <w:numPr>
          <w:ilvl w:val="0"/>
          <w:numId w:val="1001"/>
        </w:numPr>
        <w:pStyle w:val="Compact"/>
      </w:pPr>
      <w:r>
        <w:rPr>
          <w:bCs/>
          <w:b/>
        </w:rPr>
        <w:t xml:space="preserve">Jungnang District (Working-Class):</w:t>
      </w:r>
      <w:r>
        <w:t xml:space="preserve"> </w:t>
      </w:r>
      <w:r>
        <w:t xml:space="preserve">Most significant growth trajectory at +92% voter acquisition. Here, the Politician's "cost-of-living relief" policy package generated 4.7x more grassroots volunteer sign-ups than competing campaigns.</w:t>
      </w:r>
    </w:p>
    <w:bookmarkEnd w:id="23"/>
    <w:bookmarkStart w:id="24" w:name="X56aa1012c9256beaa8801aa44abffe54ba41a86"/>
    <w:p>
      <w:pPr>
        <w:pStyle w:val="Heading2"/>
      </w:pPr>
      <w:r>
        <w:t xml:space="preserve">Competitive Analysis: Campaign Sales Strategies</w:t>
      </w:r>
    </w:p>
    <w:p>
      <w:pPr>
        <w:pStyle w:val="FirstParagraph"/>
      </w:pPr>
      <w:r>
        <w:t xml:space="preserve">Comparative analysis of all major Politician campaigns in South Korea Seoul shows a clear market leadership gap:</w:t>
      </w:r>
    </w:p>
    <w:p>
      <w:pPr>
        <w:pStyle w:val="BlockText"/>
      </w:pPr>
      <w:r>
        <w:t xml:space="preserve">"While competitors relied on static campaign ads, Candidate Kim's team implemented a real-time digital sales dashboard. This allowed instant adjustment of messaging based on Seoul voter sentiment data – a practice unheard of in previous election cycles. The result: 53% faster response to policy concerns in the Seoul media landscape,"</w:t>
      </w:r>
    </w:p>
    <w:p>
      <w:pPr>
        <w:pStyle w:val="FirstParagraph"/>
      </w:pPr>
      <w:r>
        <w:rPr>
          <w:iCs/>
          <w:i/>
        </w:rPr>
        <w:t xml:space="preserve">- Dr. Min-ju Park, Political Analytics Lead, Seoul Urban Institute (2023)</w:t>
      </w:r>
    </w:p>
    <w:bookmarkEnd w:id="24"/>
    <w:bookmarkStart w:id="25" w:name="challenges-identified"/>
    <w:p>
      <w:pPr>
        <w:pStyle w:val="Heading2"/>
      </w:pPr>
      <w:r>
        <w:t xml:space="preserve">Challenges Identified</w:t>
      </w:r>
    </w:p>
    <w:p>
      <w:pPr>
        <w:pStyle w:val="FirstParagraph"/>
      </w:pPr>
      <w:r>
        <w:t xml:space="preserve">The Sales Report identifies three critical obstacles requiring immediate remediation:</w:t>
      </w:r>
    </w:p>
    <w:p>
      <w:pPr>
        <w:numPr>
          <w:ilvl w:val="0"/>
          <w:numId w:val="1002"/>
        </w:numPr>
        <w:pStyle w:val="Compact"/>
      </w:pPr>
      <w:r>
        <w:rPr>
          <w:bCs/>
          <w:b/>
        </w:rPr>
        <w:t xml:space="preserve">Urban Infrastructure Gap:</w:t>
      </w:r>
      <w:r>
        <w:t xml:space="preserve"> </w:t>
      </w:r>
      <w:r>
        <w:t xml:space="preserve">73% of Seoul voters cite "lack of policy clarity on subway expansion" as a barrier to support. This represents a significant sales conversion issue in South Korea's most transit-dependent city.</w:t>
      </w:r>
    </w:p>
    <w:p>
      <w:pPr>
        <w:numPr>
          <w:ilvl w:val="0"/>
          <w:numId w:val="1002"/>
        </w:numPr>
        <w:pStyle w:val="Compact"/>
      </w:pPr>
      <w:r>
        <w:rPr>
          <w:bCs/>
          <w:b/>
        </w:rPr>
        <w:t xml:space="preserve">Donor Acquisition Velocity:</w:t>
      </w:r>
      <w:r>
        <w:t xml:space="preserve"> </w:t>
      </w:r>
      <w:r>
        <w:t xml:space="preserve">While total revenue grew, 58% came from existing donors versus new markets. The Sales Report recommends implementing Seoul-specific "community impact" donor tiers to accelerate new customer acquisition.</w:t>
      </w:r>
    </w:p>
    <w:p>
      <w:pPr>
        <w:numPr>
          <w:ilvl w:val="0"/>
          <w:numId w:val="1002"/>
        </w:numPr>
        <w:pStyle w:val="Compact"/>
      </w:pPr>
      <w:r>
        <w:rPr>
          <w:bCs/>
          <w:b/>
        </w:rPr>
        <w:t xml:space="preserve">Digital Divide in Older Voters:</w:t>
      </w:r>
      <w:r>
        <w:t xml:space="preserve"> </w:t>
      </w:r>
      <w:r>
        <w:t xml:space="preserve">Only 32% of Seoul residents over 65 engaged with digital campaign materials, representing a massive untapped sales segment requiring tailored outreach strategies.</w:t>
      </w:r>
    </w:p>
    <w:bookmarkEnd w:id="25"/>
    <w:bookmarkStart w:id="26" w:name="Xf246b82b8764e34589e6e9fd4a1db1c14d6bbb1"/>
    <w:p>
      <w:pPr>
        <w:pStyle w:val="Heading2"/>
      </w:pPr>
      <w:r>
        <w:t xml:space="preserve">Strategic Recommendations for Q4 Campaign Sales</w:t>
      </w:r>
    </w:p>
    <w:p>
      <w:pPr>
        <w:pStyle w:val="FirstParagraph"/>
      </w:pPr>
      <w:r>
        <w:t xml:space="preserve">This Sales Report concludes with actionable steps to maximize electoral "sales" in South Korea Seoul:</w:t>
      </w:r>
    </w:p>
    <w:p>
      <w:pPr>
        <w:numPr>
          <w:ilvl w:val="0"/>
          <w:numId w:val="1003"/>
        </w:numPr>
        <w:pStyle w:val="Compact"/>
      </w:pPr>
      <w:r>
        <w:rPr>
          <w:bCs/>
          <w:b/>
        </w:rPr>
        <w:t xml:space="preserve">Launch Seoul Policy Pods:</w:t>
      </w:r>
      <w:r>
        <w:t xml:space="preserve"> </w:t>
      </w:r>
      <w:r>
        <w:t xml:space="preserve">Establish 10 neighborhood policy centers across Seoul's districts, staffed by local community organizers. This replicates successful retail store models but for political engagement, targeting the city's hyper-local voter clusters.</w:t>
      </w:r>
    </w:p>
    <w:p>
      <w:pPr>
        <w:numPr>
          <w:ilvl w:val="0"/>
          <w:numId w:val="1003"/>
        </w:numPr>
        <w:pStyle w:val="Compact"/>
      </w:pPr>
      <w:r>
        <w:rPr>
          <w:bCs/>
          <w:b/>
        </w:rPr>
        <w:t xml:space="preserve">Implement Dynamic Pricing Model:</w:t>
      </w:r>
      <w:r>
        <w:t xml:space="preserve"> </w:t>
      </w:r>
      <w:r>
        <w:t xml:space="preserve">Introduce tiered campaign donation levels tied to specific Seoul infrastructure projects (e.g., ₩500,000 = "Subway Line 7 Expansion Contribution"). This transforms donations into visible policy investments.</w:t>
      </w:r>
    </w:p>
    <w:p>
      <w:pPr>
        <w:numPr>
          <w:ilvl w:val="0"/>
          <w:numId w:val="1003"/>
        </w:numPr>
        <w:pStyle w:val="Compact"/>
      </w:pPr>
      <w:r>
        <w:rPr>
          <w:bCs/>
          <w:b/>
        </w:rPr>
        <w:t xml:space="preserve">Create Seoul Voter Journey Mapping:</w:t>
      </w:r>
      <w:r>
        <w:t xml:space="preserve"> </w:t>
      </w:r>
      <w:r>
        <w:t xml:space="preserve">Develop a customer relationship management system tracking voter touchpoints from initial inquiry to ballot casting. The Sales Report confirms that campaigns with integrated CRM systems achieve 2.3x higher conversion rates in Seoul's dense urban environment.</w:t>
      </w:r>
    </w:p>
    <w:bookmarkEnd w:id="26"/>
    <w:bookmarkStart w:id="27" w:name="Xcd00d7b4bdf8783c1be6a9c4032db8b49f2870d"/>
    <w:p>
      <w:pPr>
        <w:pStyle w:val="Heading2"/>
      </w:pPr>
      <w:r>
        <w:t xml:space="preserve">Conclusion: The New Political Sales Paradigm</w:t>
      </w:r>
    </w:p>
    <w:p>
      <w:pPr>
        <w:pStyle w:val="FirstParagraph"/>
      </w:pPr>
      <w:r>
        <w:t xml:space="preserve">This comprehensive Sales Report demonstrates that the Politician in South Korea Seoul no longer competes in a traditional election arena – they operate within a sophisticated urban political economy. Every interaction with Seoul voters must be treated as a sales transaction, where value is measured by policy adoption and trust acquisition rather than mere vote counts. The data is unequivocal: campaigns adopting business-grade sales methodologies achieve 54% higher voter retention in South Korea's competitive capital city.</w:t>
      </w:r>
    </w:p>
    <w:p>
      <w:pPr>
        <w:pStyle w:val="BodyText"/>
      </w:pPr>
      <w:r>
        <w:t xml:space="preserve">As Seoul continues to evolve as East Asia's most influential political marketplace, the distinction between electoral success and market failure will be determined by how effectively Politicians operationalize their campaigns. This Sales Report serves as the definitive guide for transforming political ambition into measurable Seoul constituency value. The mandate is clear: In South Korea's capital city, you don't just run for office – you sell solutions to 10 million urban customers.</w:t>
      </w:r>
    </w:p>
    <w:p>
      <w:pPr>
        <w:pStyle w:val="BodyText"/>
      </w:pPr>
      <w:r>
        <w:rPr>
          <w:bCs/>
          <w:b/>
        </w:rPr>
        <w:t xml:space="preserve">Appendix A:</w:t>
      </w:r>
      <w:r>
        <w:t xml:space="preserve"> </w:t>
      </w:r>
      <w:r>
        <w:t xml:space="preserve">Full district performance analytics |</w:t>
      </w:r>
      <w:r>
        <w:t xml:space="preserve"> </w:t>
      </w:r>
      <w:r>
        <w:rPr>
          <w:bCs/>
          <w:b/>
        </w:rPr>
        <w:t xml:space="preserve">Appendix B:</w:t>
      </w:r>
      <w:r>
        <w:t xml:space="preserve"> </w:t>
      </w:r>
      <w:r>
        <w:t xml:space="preserve">Comparative campaign cost-per-vote metrics |</w:t>
      </w:r>
      <w:r>
        <w:t xml:space="preserve"> </w:t>
      </w:r>
      <w:r>
        <w:rPr>
          <w:bCs/>
          <w:b/>
        </w:rPr>
        <w:t xml:space="preserve">Appendix C:</w:t>
      </w:r>
      <w:r>
        <w:t xml:space="preserve"> </w:t>
      </w:r>
      <w:r>
        <w:t xml:space="preserve">Seoul voter sentiment trend analysis (2020-2023)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Political Campaign Sales Report</dc:title>
  <dc:creator/>
  <dc:language>en</dc:language>
  <cp:keywords/>
  <dcterms:created xsi:type="dcterms:W3CDTF">2026-07-24T13:43:36Z</dcterms:created>
  <dcterms:modified xsi:type="dcterms:W3CDTF">2026-07-24T13:43:36Z</dcterms:modified>
</cp:coreProperties>
</file>

<file path=docProps/custom.xml><?xml version="1.0" encoding="utf-8"?>
<Properties xmlns="http://schemas.openxmlformats.org/officeDocument/2006/custom-properties" xmlns:vt="http://schemas.openxmlformats.org/officeDocument/2006/docPropsVTypes"/>
</file>