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Valencia</w:t>
      </w:r>
      <w:r>
        <w:t xml:space="preserve"> </w:t>
      </w:r>
      <w:r>
        <w:t xml:space="preserve">Political</w:t>
      </w:r>
      <w:r>
        <w:t xml:space="preserve"> </w:t>
      </w:r>
      <w:r>
        <w:t xml:space="preserve">Campaign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9" w:name="Xfd0919914cf1333e575f15a4b7100e5a7611621"/>
    <w:p>
      <w:pPr>
        <w:pStyle w:val="Heading1"/>
      </w:pPr>
      <w:r>
        <w:t xml:space="preserve">Valencia Political Campaign Sales Performance Report: Q3 2023</w:t>
      </w:r>
    </w:p>
    <w:bookmarkStart w:id="28" w:name="X04f96864eae52847f9ffa59ff1d4ef4612abcd3"/>
    <w:p>
      <w:pPr>
        <w:pStyle w:val="Heading2"/>
      </w:pPr>
      <w:r>
        <w:t xml:space="preserve">Prepared for the Valencia Regional Executive Board</w:t>
      </w:r>
    </w:p>
    <w:p>
      <w:pPr>
        <w:pStyle w:val="FirstParagraph"/>
      </w:pPr>
      <w:r>
        <w:t xml:space="preserve">Date: October 5, 2023 | Prepared By: Strategic Political Analytics Division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quarterly sales report documents the voter acquisition and political platform penetration metrics across Valencia during July-September 2023. Unlike conventional sales reporting, this document tracks "political product" adoption through voter engagement channels, policy support metrics, and electoral district conversion rates. The campaign achieved a 14.7% growth in active supporter base (compared to previous quarter) with València city showing exceptional performance at 22.3% acquisition rate – exceeding regional targets by 9.8 percentage points.</w:t>
      </w:r>
    </w:p>
    <w:bookmarkEnd w:id="20"/>
    <w:bookmarkStart w:id="21" w:name="X239b1c7c5d26f0e05e51d82b060b6b01e34500e"/>
    <w:p>
      <w:pPr>
        <w:pStyle w:val="Heading3"/>
      </w:pPr>
      <w:r>
        <w:t xml:space="preserve">Key Performance Indicators: Political "Sales" Metrics</w:t>
      </w:r>
    </w:p>
    <w:p>
      <w:pPr>
        <w:pStyle w:val="FirstParagraph"/>
      </w:pPr>
      <w:r>
        <w:t xml:space="preserve">Measure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Voter Acquisition Rate (Valencia)</w:t>
      </w:r>
    </w:p>
    <w:p>
      <w:pPr>
        <w:pStyle w:val="BodyText"/>
      </w:pPr>
      <w:r>
        <w:t xml:space="preserve">48.1%</w:t>
      </w:r>
    </w:p>
    <w:p>
      <w:pPr>
        <w:pStyle w:val="BodyText"/>
      </w:pPr>
      <w:r>
        <w:t xml:space="preserve">61.7%</w:t>
      </w:r>
    </w:p>
    <w:p>
      <w:pPr>
        <w:pStyle w:val="BodyText"/>
      </w:pPr>
      <w:r>
        <w:t xml:space="preserve">+13.6%</w:t>
      </w:r>
    </w:p>
    <w:p>
      <w:pPr>
        <w:pStyle w:val="BodyText"/>
      </w:pPr>
      <w:r>
        <w:t xml:space="preserve">Policy Support Conversion</w:t>
      </w:r>
    </w:p>
    <w:p>
      <w:pPr>
        <w:pStyle w:val="BodyText"/>
      </w:pPr>
      <w:r>
        <w:t xml:space="preserve">37.9%52.4%+14.5%</w:t>
      </w:r>
    </w:p>
    <w:p>
      <w:pPr>
        <w:pStyle w:val="BodyText"/>
      </w:pPr>
      <w:r>
        <w:t xml:space="preserve">Event Attendance (Local)</w:t>
      </w:r>
    </w:p>
    <w:p>
      <w:pPr>
        <w:pStyle w:val="BodyText"/>
      </w:pPr>
      <w:r>
        <w:t xml:space="preserve">8,200</w:t>
      </w:r>
    </w:p>
    <w:p>
      <w:pPr>
        <w:pStyle w:val="BodyText"/>
      </w:pPr>
      <w:r>
        <w:t xml:space="preserve">12,650</w:t>
      </w:r>
    </w:p>
    <w:p>
      <w:pPr>
        <w:pStyle w:val="BodyText"/>
      </w:pPr>
      <w:r>
        <w:t xml:space="preserve">+54.3%</w:t>
      </w:r>
    </w:p>
    <w:p>
      <w:pPr>
        <w:pStyle w:val="BodyText"/>
      </w:pPr>
      <w:r>
        <w:t xml:space="preserve">Social Media Engagement Rate</w:t>
      </w:r>
    </w:p>
    <w:p>
      <w:pPr>
        <w:pStyle w:val="BodyText"/>
      </w:pPr>
      <w:r>
        <w:t xml:space="preserve">14.2%(+37.6%)</w:t>
      </w:r>
    </w:p>
    <w:bookmarkEnd w:id="21"/>
    <w:bookmarkStart w:id="22" w:name="valencia-specific-campaign-analysis"/>
    <w:p>
      <w:pPr>
        <w:pStyle w:val="Heading3"/>
      </w:pPr>
      <w:r>
        <w:t xml:space="preserve">Valencia-Specific Campaign Analysis</w:t>
      </w:r>
    </w:p>
    <w:p>
      <w:pPr>
        <w:pStyle w:val="FirstParagraph"/>
      </w:pPr>
      <w:r>
        <w:t xml:space="preserve">The Valencia region demonstrated exceptional political "sales velocity" through three strategic initiatives that directly addressed regional concerns: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Economy Package Launch:</w:t>
      </w:r>
      <w:r>
        <w:t xml:space="preserve"> </w:t>
      </w:r>
      <w:r>
        <w:t xml:space="preserve">The "València Works" economic stimulus package generated 18,400 new policy sign-ups within 72 hours – a 3.2x increase over previous campaign products. Key drivers included affordable housing initiatives (38% of sign-ups) and small business tax relief (29%).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 Strategy:</w:t>
      </w:r>
      <w:r>
        <w:t xml:space="preserve"> </w:t>
      </w:r>
      <w:r>
        <w:t xml:space="preserve">Deployment of mobile political "sales teams" across Valencia's 57 municipalities yielded 4,200 in-person voter consultations. The most effective district was Sagunt (41% conversion rate) where candidates addressed local port development concerns.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 Campaigns:</w:t>
      </w:r>
      <w:r>
        <w:t xml:space="preserve"> </w:t>
      </w:r>
      <w:r>
        <w:t xml:space="preserve">Partnering with Valencia's iconic La Lonja de la Seda cultural hub for policy workshops increased youth engagement (18-30 age group) by 67% compared to Q2. The "Valencian Identity" policy bundle saw 79% of young voters express stronger support.</w:t>
      </w:r>
    </w:p>
    <w:bookmarkEnd w:id="22"/>
    <w:bookmarkStart w:id="23" w:name="X77af9153fd08f0ff8853338c4188bc0021b3a6b"/>
    <w:p>
      <w:pPr>
        <w:pStyle w:val="Heading3"/>
      </w:pPr>
      <w:r>
        <w:t xml:space="preserve">Competitive Landscape Analysis in Valencia</w:t>
      </w:r>
    </w:p>
    <w:p>
      <w:pPr>
        <w:pStyle w:val="FirstParagraph"/>
      </w:pPr>
      <w:r>
        <w:t xml:space="preserve">Our political "product" outperformed regional competitors on all key metrics within Valencia: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Voter Acquisition (Valencia)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Support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Party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Party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(Valencia Campaign)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61.7%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52.4%</w:t>
            </w:r>
          </w:p>
        </w:tc>
      </w:tr>
    </w:tbl>
    <w:p>
      <w:pPr>
        <w:pStyle w:val="BodyText"/>
      </w:pPr>
      <w:r>
        <w:t xml:space="preserve">The significant gap stems from our hyper-localized approach – all policy materials were bilingual (Spanish/Catalan) with Valencian-specific economic data, unlike competitors' standardized national messaging.</w:t>
      </w:r>
    </w:p>
    <w:bookmarkEnd w:id="23"/>
    <w:bookmarkStart w:id="24" w:name="Xdd11070ebafdfbb76b8deec598d09477efeb6f0"/>
    <w:p>
      <w:pPr>
        <w:pStyle w:val="Heading3"/>
      </w:pPr>
      <w:r>
        <w:t xml:space="preserve">Regional Breakdown: Valencia District Performance</w:t>
      </w:r>
    </w:p>
    <w:p>
      <w:pPr>
        <w:pStyle w:val="FirstParagraph"/>
      </w:pPr>
      <w:r>
        <w:t xml:space="preserve">District</w:t>
      </w:r>
    </w:p>
    <w:p>
      <w:pPr>
        <w:pStyle w:val="BodyText"/>
      </w:pPr>
      <w:r>
        <w:t xml:space="preserve">Acquisition Rate</w:t>
      </w:r>
    </w:p>
    <w:p>
      <w:pPr>
        <w:pStyle w:val="BodyText"/>
      </w:pPr>
      <w:r>
        <w:t xml:space="preserve">Top Performing Policy</w:t>
      </w:r>
    </w:p>
    <w:p>
      <w:pPr>
        <w:pStyle w:val="BodyText"/>
      </w:pPr>
      <w:r>
        <w:t xml:space="preserve">València City (Capital)</w:t>
      </w:r>
    </w:p>
    <w:p>
      <w:pPr>
        <w:pStyle w:val="BodyText"/>
      </w:pPr>
      <w:r>
        <w:t xml:space="preserve">68.3%</w:t>
      </w:r>
    </w:p>
    <w:p>
      <w:pPr>
        <w:pStyle w:val="BodyText"/>
      </w:pPr>
      <w:r>
        <w:t xml:space="preserve">Affordable Housing Plan</w:t>
      </w:r>
    </w:p>
    <w:p>
      <w:pPr>
        <w:pStyle w:val="BodyText"/>
      </w:pPr>
      <w:r>
        <w:t xml:space="preserve">Sagunt &amp; Alzira</w:t>
      </w:r>
    </w:p>
    <w:p>
      <w:pPr>
        <w:pStyle w:val="BodyText"/>
      </w:pPr>
      <w:r>
        <w:t xml:space="preserve">59.1%</w:t>
      </w:r>
    </w:p>
    <w:p>
      <w:pPr>
        <w:pStyle w:val="BodyText"/>
      </w:pPr>
      <w:r>
        <w:t xml:space="preserve">Tourism Infrastructure Investment</w:t>
      </w:r>
    </w:p>
    <w:p>
      <w:pPr>
        <w:pStyle w:val="BodyText"/>
      </w:pPr>
      <w:r>
        <w:t xml:space="preserve">Puerto de Valencia</w:t>
      </w:r>
    </w:p>
    <w:p>
      <w:pPr>
        <w:pStyle w:val="BodyText"/>
      </w:pPr>
      <w:r>
        <w:t xml:space="preserve">62.8%</w:t>
      </w:r>
    </w:p>
    <w:p>
      <w:pPr>
        <w:pStyle w:val="BodyText"/>
      </w:pPr>
      <w:r>
        <w:t xml:space="preserve">Port Expansion Initiative</w:t>
      </w:r>
    </w:p>
    <w:p>
      <w:pPr>
        <w:pStyle w:val="BodyText"/>
      </w:pPr>
      <w:r>
        <w:t xml:space="preserve">Sud Valencia (Alicante)</w:t>
      </w:r>
    </w:p>
    <w:p>
      <w:pPr>
        <w:pStyle w:val="BodyText"/>
      </w:pPr>
      <w:r>
        <w:t xml:space="preserve">54.6%</w:t>
      </w:r>
    </w:p>
    <w:p>
      <w:pPr>
        <w:pStyle w:val="BodyText"/>
      </w:pPr>
      <w:r>
        <w:t xml:space="preserve">Rural Digital Connectivity</w:t>
      </w:r>
    </w:p>
    <w:p>
      <w:pPr>
        <w:pStyle w:val="BodyText"/>
      </w:pPr>
      <w:r>
        <w:t xml:space="preserve">The Puerto de Valencia district achieved the highest conversion rate due to our targeted "Port Jobs Guarantee" campaign addressing local unemployment concerns – directly responding to a 2023 regional survey showing 68% of port workers supported this policy.</w:t>
      </w:r>
    </w:p>
    <w:bookmarkEnd w:id="24"/>
    <w:bookmarkStart w:id="25" w:name="challenges-strategic-adjustments"/>
    <w:p>
      <w:pPr>
        <w:pStyle w:val="Heading3"/>
      </w:pPr>
      <w:r>
        <w:t xml:space="preserve">Challenges &amp; Strategic Adjustments</w:t>
      </w:r>
    </w:p>
    <w:p>
      <w:pPr>
        <w:pStyle w:val="FirstParagraph"/>
      </w:pPr>
      <w:r>
        <w:rPr>
          <w:bCs/>
          <w:b/>
        </w:rPr>
        <w:t xml:space="preserve">Challenge 1:</w:t>
      </w:r>
      <w:r>
        <w:t xml:space="preserve"> </w:t>
      </w:r>
      <w:r>
        <w:t xml:space="preserve">Initial resistance to digital campaigning in older demographics (55+).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Deployed "Senior Ambassador" program with 40+ local volunteers conducting door-to-door policy explanations, increasing this demographic's engagement by 32%.</w:t>
      </w:r>
    </w:p>
    <w:p>
      <w:pPr>
        <w:pStyle w:val="BodyText"/>
      </w:pPr>
      <w:r>
        <w:rPr>
          <w:bCs/>
          <w:b/>
        </w:rPr>
        <w:t xml:space="preserve">Challenge 2:</w:t>
      </w:r>
      <w:r>
        <w:t xml:space="preserve"> </w:t>
      </w:r>
      <w:r>
        <w:t xml:space="preserve">Competitor's negative campaign on healthcare funding.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Launched "Valencia Cures" digital campaign showcasing actual hospital equipment upgrades (validated by regional health data), reversing negative sentiment in key districts.</w:t>
      </w:r>
    </w:p>
    <w:bookmarkEnd w:id="25"/>
    <w:bookmarkStart w:id="26" w:name="future-sales-strategy-recommendations"/>
    <w:p>
      <w:pPr>
        <w:pStyle w:val="Heading3"/>
      </w:pPr>
      <w:r>
        <w:t xml:space="preserve">Future Sales Strategy Recommendations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Policy Customization:</w:t>
      </w:r>
      <w:r>
        <w:t xml:space="preserve"> </w:t>
      </w:r>
      <w:r>
        <w:t xml:space="preserve">Develop 27 district-specific policy bundles for Valencia's municipalities (currently at 18) – especially for coastal towns where tourism policies drive 45% of voter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"Sales" Team Expansion:</w:t>
      </w:r>
      <w:r>
        <w:t xml:space="preserve"> </w:t>
      </w:r>
      <w:r>
        <w:t xml:space="preserve">Increase mobile engagement teams from 12 to 30 units by Q1 2024, focusing on underserved areas in Valencia's north (Villarreal, Sueca).</w:t>
      </w:r>
    </w:p>
    <w:bookmarkEnd w:id="26"/>
    <w:bookmarkStart w:id="27" w:name="X7824c39e05b2b618eaac69aebf82d9db1656218"/>
    <w:p>
      <w:pPr>
        <w:pStyle w:val="Heading3"/>
      </w:pPr>
      <w:r>
        <w:t xml:space="preserve">Conclusion: Valencia's Political Sales Momentum</w:t>
      </w:r>
    </w:p>
    <w:p>
      <w:pPr>
        <w:pStyle w:val="FirstParagraph"/>
      </w:pPr>
      <w:r>
        <w:t xml:space="preserve">This report confirms that our political campaign has achieved unprecedented "sales velocity" in the Valencia market through authentic regional engagement. The 14.7% quarter-over-quarter growth in active voter acquisition – particularly strong in València city (68.3%) and Puerto de Valencia (62.8%) – establishes a critical foundation for the 2024 regional elections.</w:t>
      </w:r>
    </w:p>
    <w:p>
      <w:pPr>
        <w:pStyle w:val="BodyText"/>
      </w:pPr>
      <w:r>
        <w:t xml:space="preserve">Crucially, this isn't merely "voter count" growth; it represents genuine policy adoption where 57% of new supporters now actively advocate for campaign positions on social media. This authentic engagement transforms political campaigning from transactional voter acquisition to sustainable community ownership – a strategic advantage unique to our Valencia-focused approach.</w:t>
      </w:r>
    </w:p>
    <w:p>
      <w:pPr>
        <w:pStyle w:val="BodyText"/>
      </w:pPr>
      <w:r>
        <w:t xml:space="preserve">As we move toward the municipal elections, our sales strategy will double down on València's cultural identity: integrating local festivals (like Fallas) into policy launch events and creating "Valencian Language" campaign materials for all digital touchpoints. The data is clear – when political products resonate with Valencia's unique economic and cultural context, voter conversion follows naturally.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65% of Q4 2023 campaign budget to expanding the mobile engagement teams and district-specific policy bundles. This will capture at least 8.2% additional market share in Valencia's most competitive districts by election 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Disclaimer: All metrics based on València Regional Voter Database (VRVD) and official electoral commission filings. "Sales" terminology reflects political engagement metrics per European Union Political Campaigning Framework Directive 2021/345.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 Political Campaign Sales Report: Q3 2023</dc:title>
  <dc:creator/>
  <dc:language>en</dc:language>
  <cp:keywords/>
  <dcterms:created xsi:type="dcterms:W3CDTF">2026-06-02T14:16:37Z</dcterms:created>
  <dcterms:modified xsi:type="dcterms:W3CDTF">2026-06-02T14:16:37Z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