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Politician</w:t>
      </w:r>
      <w:r>
        <w:t xml:space="preserve"> </w:t>
      </w:r>
      <w:r>
        <w:t xml:space="preserve">Campaign</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30" w:name="X0c3eb7f7e8f583831423d576d78aef0eaeabe41"/>
    <w:p>
      <w:pPr>
        <w:pStyle w:val="Heading1"/>
      </w:pPr>
      <w:r>
        <w:t xml:space="preserve">Comprehensive Sales Report: Political Campaign Performance Analysis for [Politician Name] in Turkey Istanbul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Campaign Leadership Committee, Istanbul District Office</w:t>
      </w:r>
      <w:r>
        <w:br/>
      </w:r>
      <w:r>
        <w:rPr>
          <w:bCs/>
          <w:b/>
        </w:rPr>
        <w:t xml:space="preserve">Purpose:</w:t>
      </w:r>
      <w:r>
        <w:t xml:space="preserve"> </w:t>
      </w:r>
      <w:r>
        <w:t xml:space="preserve">Strategic Assessment of Voter Engagement Metrics and Community Outreach Initiatives</w:t>
      </w:r>
    </w:p>
    <w:bookmarkStart w:id="20" w:name="i.-executive-summary"/>
    <w:p>
      <w:pPr>
        <w:pStyle w:val="Heading2"/>
      </w:pPr>
      <w:r>
        <w:t xml:space="preserve">I. Executive Summary</w:t>
      </w:r>
    </w:p>
    <w:p>
      <w:pPr>
        <w:pStyle w:val="FirstParagraph"/>
      </w:pPr>
      <w:r>
        <w:t xml:space="preserve">This Sales Report details the comprehensive performance metrics of our political campaign across Turkey Istanbul during the third quarter of 2023. As a leading candidate in the Istanbul Metropolitan Municipality election cycle, our Politician has achieved remarkable growth in voter acquisition and community engagement across all 39 districts. The report demonstrates how strategic political "sales" initiatives—focusing on constituent needs rather than transactional exchanges—have positioned our campaign as the most trusted option for Istanbul residents. With voter acquisition rates surpassing market benchmarks by 47% and digital engagement metrics reaching record highs, this report confirms Turkey Istanbul as a critical growth frontier for our nationwide political strategy.</w:t>
      </w:r>
    </w:p>
    <w:bookmarkEnd w:id="20"/>
    <w:bookmarkStart w:id="21" w:name="Xeaa88559e4ef838e65300552331b68b0c33ecf5"/>
    <w:p>
      <w:pPr>
        <w:pStyle w:val="Heading2"/>
      </w:pPr>
      <w:r>
        <w:t xml:space="preserve">II. Market Context: Turkey Istanbul Political Landscape</w:t>
      </w:r>
    </w:p>
    <w:p>
      <w:pPr>
        <w:pStyle w:val="FirstParagraph"/>
      </w:pPr>
      <w:r>
        <w:t xml:space="preserve">Turkey Istanbul represents the nation's economic heartland, home to 15.5 million residents and 39% of Turkey's GDP. The city's unique demographic mosaic—encompassing young professionals (34%), aging citizens (28%), and immigrant communities (19%)—demands hyper-localized campaign strategies. As our Politician has consistently emphasized during public forums, "Istanbul isn't just a city; it's a living ecosystem where every neighborhood has its own economic pulse." This insight directly informed our campaign's sales framework, moving beyond traditional political messaging to create value-based engagement systems that address specific Istanbul pain points: transportation congestion (affecting 72% of commuters), affordable housing shortages (impacting 63% of residents), and small business support gaps.</w:t>
      </w:r>
    </w:p>
    <w:bookmarkEnd w:id="21"/>
    <w:bookmarkStart w:id="22" w:name="Xdc22eff73c67b2dcd71ef1ac4ce104eba592e1b"/>
    <w:p>
      <w:pPr>
        <w:pStyle w:val="Heading2"/>
      </w:pPr>
      <w:r>
        <w:t xml:space="preserve">III. Campaign Performance Metrics ("Sales" KPIs)</w:t>
      </w:r>
    </w:p>
    <w:p>
      <w:pPr>
        <w:pStyle w:val="FirstParagraph"/>
      </w:pPr>
      <w:r>
        <w:t xml:space="preserve">We track political "sales" through four primary indicators, adapted to reflect Turkey Istanbul's civic context:</w:t>
      </w:r>
    </w:p>
    <w:p>
      <w:pPr>
        <w:numPr>
          <w:ilvl w:val="0"/>
          <w:numId w:val="1001"/>
        </w:numPr>
        <w:pStyle w:val="Compact"/>
      </w:pPr>
      <w:r>
        <w:rPr>
          <w:bCs/>
          <w:b/>
        </w:rPr>
        <w:t xml:space="preserve">Voter Acquisition Rate:</w:t>
      </w:r>
      <w:r>
        <w:t xml:space="preserve"> </w:t>
      </w:r>
      <w:r>
        <w:t xml:space="preserve">58.3% increase in verified constituent sign-ups (from 214,000 to 338,700) across Istanbul districts—surpassing the national average by 2.1x</w:t>
      </w:r>
    </w:p>
    <w:p>
      <w:pPr>
        <w:numPr>
          <w:ilvl w:val="0"/>
          <w:numId w:val="1001"/>
        </w:numPr>
        <w:pStyle w:val="Compact"/>
      </w:pPr>
      <w:r>
        <w:rPr>
          <w:bCs/>
          <w:b/>
        </w:rPr>
        <w:t xml:space="preserve">Engagement Depth:</w:t>
      </w:r>
      <w:r>
        <w:t xml:space="preserve"> </w:t>
      </w:r>
      <w:r>
        <w:t xml:space="preserve">Average of 6.8 community interactions per supporter (vs. market benchmark of 2.4), including neighborhood workshops in Kadıköy, Beşiktaş, and Ümraniye</w:t>
      </w:r>
    </w:p>
    <w:p>
      <w:pPr>
        <w:numPr>
          <w:ilvl w:val="0"/>
          <w:numId w:val="1001"/>
        </w:numPr>
        <w:pStyle w:val="Compact"/>
      </w:pPr>
      <w:r>
        <w:rPr>
          <w:bCs/>
          <w:b/>
        </w:rPr>
        <w:t xml:space="preserve">Sentiment Conversion:</w:t>
      </w:r>
      <w:r>
        <w:t xml:space="preserve"> </w:t>
      </w:r>
      <w:r>
        <w:t xml:space="preserve">73% positive sentiment shift in key Istanbul opinion polls after our "Istanbul First" infrastructure pledge launch</w:t>
      </w:r>
    </w:p>
    <w:p>
      <w:pPr>
        <w:numPr>
          <w:ilvl w:val="0"/>
          <w:numId w:val="1001"/>
        </w:numPr>
        <w:pStyle w:val="Compact"/>
      </w:pPr>
      <w:r>
        <w:rPr>
          <w:bCs/>
          <w:b/>
        </w:rPr>
        <w:t xml:space="preserve">Resource Efficiency:</w:t>
      </w:r>
      <w:r>
        <w:t xml:space="preserve"> </w:t>
      </w:r>
      <w:r>
        <w:t xml:space="preserve">22% lower cost per verified voter compared to competitors through digital-first outreach</w:t>
      </w:r>
    </w:p>
    <w:p>
      <w:pPr>
        <w:pStyle w:val="FirstParagraph"/>
      </w:pPr>
      <w:r>
        <w:t xml:space="preserve">The most significant breakthrough occurred in the Kızıltoprak neighborhood where our Politician personally hosted a "Solutions Summit" addressing construction permits delays—a major pain point for 68% of local businesses. This initiative generated 1,400 new constituent relationships within two days, demonstrating how targeted community engagement drives tangible political "sales."</w:t>
      </w:r>
    </w:p>
    <w:bookmarkEnd w:id="22"/>
    <w:bookmarkStart w:id="26" w:name="iv.-strategic-initiatives-driving-growth"/>
    <w:p>
      <w:pPr>
        <w:pStyle w:val="Heading2"/>
      </w:pPr>
      <w:r>
        <w:t xml:space="preserve">IV. Strategic Initiatives Driving Growth</w:t>
      </w:r>
    </w:p>
    <w:p>
      <w:pPr>
        <w:pStyle w:val="FirstParagraph"/>
      </w:pPr>
      <w:r>
        <w:t xml:space="preserve">Our campaign's success stems from three pillars adapted for Turkey Istanbul's unique dynamics:</w:t>
      </w:r>
    </w:p>
    <w:bookmarkStart w:id="23" w:name="a.-hyper-local-value-propositions"/>
    <w:p>
      <w:pPr>
        <w:pStyle w:val="Heading3"/>
      </w:pPr>
      <w:r>
        <w:t xml:space="preserve">A. Hyper-Local Value Propositions</w:t>
      </w:r>
    </w:p>
    <w:p>
      <w:pPr>
        <w:pStyle w:val="FirstParagraph"/>
      </w:pPr>
      <w:r>
        <w:t xml:space="preserve">We abandoned generic political messaging in favor of Istanbul-specific solutions. For example:</w:t>
      </w:r>
    </w:p>
    <w:p>
      <w:pPr>
        <w:numPr>
          <w:ilvl w:val="0"/>
          <w:numId w:val="1002"/>
        </w:numPr>
        <w:pStyle w:val="Compact"/>
      </w:pPr>
      <w:r>
        <w:rPr>
          <w:iCs/>
          <w:i/>
        </w:rPr>
        <w:t xml:space="preserve">Istanbul Commuter Program:</w:t>
      </w:r>
      <w:r>
        <w:t xml:space="preserve"> </w:t>
      </w:r>
      <w:r>
        <w:t xml:space="preserve">Proposed expansion of Marmaray lines to Sefaköy and Pendik—directly addressing daily pain points for 2.1M commuters</w:t>
      </w:r>
    </w:p>
    <w:p>
      <w:pPr>
        <w:numPr>
          <w:ilvl w:val="0"/>
          <w:numId w:val="1002"/>
        </w:numPr>
        <w:pStyle w:val="Compact"/>
      </w:pPr>
      <w:r>
        <w:rPr>
          <w:iCs/>
          <w:i/>
        </w:rPr>
        <w:t xml:space="preserve">Bazaar Revitalization Fund:</w:t>
      </w:r>
      <w:r>
        <w:t xml:space="preserve"> </w:t>
      </w:r>
      <w:r>
        <w:t xml:space="preserve">$200M initiative supporting 5,300 traditional market vendors across Istanbul's historic districts (Galata, Eminönü)</w:t>
      </w:r>
    </w:p>
    <w:p>
      <w:pPr>
        <w:pStyle w:val="FirstParagraph"/>
      </w:pPr>
      <w:r>
        <w:t xml:space="preserve">These initiatives converted abstract political support into concrete "value transactions" that resonated with Istanbul residents' daily realities.</w:t>
      </w:r>
    </w:p>
    <w:bookmarkEnd w:id="23"/>
    <w:bookmarkStart w:id="24" w:name="b.-digital-first-community-sales-engine"/>
    <w:p>
      <w:pPr>
        <w:pStyle w:val="Heading3"/>
      </w:pPr>
      <w:r>
        <w:t xml:space="preserve">B. Digital-First Community Sales Engine</w:t>
      </w:r>
    </w:p>
    <w:p>
      <w:pPr>
        <w:pStyle w:val="FirstParagraph"/>
      </w:pPr>
      <w:r>
        <w:t xml:space="preserve">We deployed a multilingual mobile platform (Turkish, English, Kurdish) enabling real-time issue reporting and solution tracking—transforming the campaign into an active community service provider. This system achieved:</w:t>
      </w:r>
    </w:p>
    <w:p>
      <w:pPr>
        <w:numPr>
          <w:ilvl w:val="0"/>
          <w:numId w:val="1003"/>
        </w:numPr>
        <w:pStyle w:val="Compact"/>
      </w:pPr>
      <w:r>
        <w:t xml:space="preserve">89% user retention rate in Istanbul neighborhoods</w:t>
      </w:r>
    </w:p>
    <w:p>
      <w:pPr>
        <w:numPr>
          <w:ilvl w:val="0"/>
          <w:numId w:val="1003"/>
        </w:numPr>
        <w:pStyle w:val="Compact"/>
      </w:pPr>
      <w:r>
        <w:t xml:space="preserve">14,200+ issues resolved via platform (vs. 3,800 industry average)</w:t>
      </w:r>
    </w:p>
    <w:p>
      <w:pPr>
        <w:numPr>
          <w:ilvl w:val="0"/>
          <w:numId w:val="1003"/>
        </w:numPr>
        <w:pStyle w:val="Compact"/>
      </w:pPr>
      <w:r>
        <w:t xml:space="preserve">76% of new sign-ups initiated through Instagram Reels demonstrating on-ground problem-solving</w:t>
      </w:r>
    </w:p>
    <w:bookmarkEnd w:id="24"/>
    <w:bookmarkStart w:id="25" w:name="Xe1ed2724bc9407526124a4de2336b5166237a78"/>
    <w:p>
      <w:pPr>
        <w:pStyle w:val="Heading3"/>
      </w:pPr>
      <w:r>
        <w:t xml:space="preserve">C. Trust-Building Through Authentic Visibility</w:t>
      </w:r>
    </w:p>
    <w:p>
      <w:pPr>
        <w:pStyle w:val="FirstParagraph"/>
      </w:pPr>
      <w:r>
        <w:t xml:space="preserve">Our Politician's commitment to "visible governance" drove unprecedented community access. In September alone:</w:t>
      </w:r>
    </w:p>
    <w:p>
      <w:pPr>
        <w:numPr>
          <w:ilvl w:val="0"/>
          <w:numId w:val="1004"/>
        </w:numPr>
        <w:pStyle w:val="Compact"/>
      </w:pPr>
      <w:r>
        <w:t xml:space="preserve">Hosted 12 neighborhood walks across Istanbul's most underserved areas (Sultangazi, Arnavutköy)</w:t>
      </w:r>
    </w:p>
    <w:p>
      <w:pPr>
        <w:numPr>
          <w:ilvl w:val="0"/>
          <w:numId w:val="1004"/>
        </w:numPr>
        <w:pStyle w:val="Compact"/>
      </w:pPr>
      <w:r>
        <w:t xml:space="preserve">Participated in 8 local market days—observing small business operations firsthand</w:t>
      </w:r>
    </w:p>
    <w:p>
      <w:pPr>
        <w:numPr>
          <w:ilvl w:val="0"/>
          <w:numId w:val="1004"/>
        </w:numPr>
        <w:pStyle w:val="Compact"/>
      </w:pPr>
      <w:r>
        <w:t xml:space="preserve">Made 47 direct radio interview appearances on Istanbul-based stations including Radyo Antrepo and İstanbul FM</w:t>
      </w:r>
    </w:p>
    <w:p>
      <w:pPr>
        <w:pStyle w:val="FirstParagraph"/>
      </w:pPr>
      <w:r>
        <w:t xml:space="preserve">This authenticity directly fueled the 53% increase in "trust" metrics among undecided voters according to the latest Istanbul Polling Institute data.</w:t>
      </w:r>
    </w:p>
    <w:bookmarkEnd w:id="25"/>
    <w:bookmarkEnd w:id="26"/>
    <w:bookmarkStart w:id="27" w:name="v.-challenges-competitive-landscape"/>
    <w:p>
      <w:pPr>
        <w:pStyle w:val="Heading2"/>
      </w:pPr>
      <w:r>
        <w:t xml:space="preserve">V. Challenges &amp; Competitive Landscape</w:t>
      </w:r>
    </w:p>
    <w:p>
      <w:pPr>
        <w:pStyle w:val="FirstParagraph"/>
      </w:pPr>
      <w:r>
        <w:t xml:space="preserve">Despite strong performance, Turkey Istanbul's competitive political environment presented significant hurdles:</w:t>
      </w:r>
    </w:p>
    <w:p>
      <w:pPr>
        <w:numPr>
          <w:ilvl w:val="0"/>
          <w:numId w:val="1005"/>
        </w:numPr>
        <w:pStyle w:val="Compact"/>
      </w:pPr>
      <w:r>
        <w:rPr>
          <w:iCs/>
          <w:i/>
        </w:rPr>
        <w:t xml:space="preserve">Resource Disparity:</w:t>
      </w:r>
      <w:r>
        <w:t xml:space="preserve"> </w:t>
      </w:r>
      <w:r>
        <w:t xml:space="preserve">Competitors allocated 3x more funds to Istanbul TV advertising (we focused on community-led outreach instead)</w:t>
      </w:r>
    </w:p>
    <w:p>
      <w:pPr>
        <w:numPr>
          <w:ilvl w:val="0"/>
          <w:numId w:val="1005"/>
        </w:numPr>
        <w:pStyle w:val="Compact"/>
      </w:pPr>
      <w:r>
        <w:rPr>
          <w:iCs/>
          <w:i/>
        </w:rPr>
        <w:t xml:space="preserve">Information Overload:</w:t>
      </w:r>
      <w:r>
        <w:t xml:space="preserve"> </w:t>
      </w:r>
      <w:r>
        <w:t xml:space="preserve">68% of Istanbul residents reported being overwhelmed by campaign promises during Q3</w:t>
      </w:r>
    </w:p>
    <w:p>
      <w:pPr>
        <w:numPr>
          <w:ilvl w:val="0"/>
          <w:numId w:val="1005"/>
        </w:numPr>
        <w:pStyle w:val="Compact"/>
      </w:pPr>
      <w:r>
        <w:rPr>
          <w:iCs/>
          <w:i/>
        </w:rPr>
        <w:t xml:space="preserve">Social Media Misinformation:</w:t>
      </w:r>
      <w:r>
        <w:t xml:space="preserve"> </w:t>
      </w:r>
      <w:r>
        <w:t xml:space="preserve">False claims about our infrastructure plan spread across WhatsApp groups in Bayrampaşa and Ümraniye</w:t>
      </w:r>
    </w:p>
    <w:p>
      <w:pPr>
        <w:pStyle w:val="FirstParagraph"/>
      </w:pPr>
      <w:r>
        <w:t xml:space="preserve">We countered these challenges through our "Istanbul Fact Check" initiative—a free community service verifying all campaign promises with transparent data, reducing misinformation impact by 61% within two weeks.</w:t>
      </w:r>
    </w:p>
    <w:bookmarkEnd w:id="27"/>
    <w:bookmarkStart w:id="28" w:name="Xe31a6aeec5dad22ccf73d8149e7a12794e844c2"/>
    <w:p>
      <w:pPr>
        <w:pStyle w:val="Heading2"/>
      </w:pPr>
      <w:r>
        <w:t xml:space="preserve">VI. Strategic Recommendations for Q4 2023</w:t>
      </w:r>
    </w:p>
    <w:p>
      <w:pPr>
        <w:pStyle w:val="FirstParagraph"/>
      </w:pPr>
      <w:r>
        <w:t xml:space="preserve">Based on this Sales Report, we recommend the following Istanbul-specific initiatives to convert engagement into electoral success:</w:t>
      </w:r>
    </w:p>
    <w:p>
      <w:pPr>
        <w:numPr>
          <w:ilvl w:val="0"/>
          <w:numId w:val="1006"/>
        </w:numPr>
        <w:pStyle w:val="Compact"/>
      </w:pPr>
      <w:r>
        <w:rPr>
          <w:bCs/>
          <w:b/>
        </w:rPr>
        <w:t xml:space="preserve">Launch "Istanbul Solutions Network":</w:t>
      </w:r>
      <w:r>
        <w:t xml:space="preserve"> </w:t>
      </w:r>
      <w:r>
        <w:t xml:space="preserve">Create neighborhood-based volunteer teams (50+ in key districts) to co-design solutions with citizens—turning supporters into active campaign ambassadors</w:t>
      </w:r>
    </w:p>
    <w:p>
      <w:pPr>
        <w:numPr>
          <w:ilvl w:val="0"/>
          <w:numId w:val="1006"/>
        </w:numPr>
        <w:pStyle w:val="Compact"/>
      </w:pPr>
      <w:r>
        <w:rPr>
          <w:bCs/>
          <w:b/>
        </w:rPr>
        <w:t xml:space="preserve">Invest in Istanbul-Specific Digital Tools:</w:t>
      </w:r>
      <w:r>
        <w:t xml:space="preserve"> </w:t>
      </w:r>
      <w:r>
        <w:t xml:space="preserve">Develop AR app showing projected infrastructure improvements on real street views using Istanbul's actual geospatial data</w:t>
      </w:r>
    </w:p>
    <w:p>
      <w:pPr>
        <w:numPr>
          <w:ilvl w:val="0"/>
          <w:numId w:val="1006"/>
        </w:numPr>
        <w:pStyle w:val="Compact"/>
      </w:pPr>
      <w:r>
        <w:rPr>
          <w:bCs/>
          <w:b/>
        </w:rPr>
        <w:t xml:space="preserve">Prioritize Youth Voter "Sales" Funnel:</w:t>
      </w:r>
      <w:r>
        <w:t xml:space="preserve"> </w:t>
      </w:r>
      <w:r>
        <w:t xml:space="preserve">Partner with 120+ university clubs across Turkey Istanbul to address student housing and internship programs—targeting the 34% under-35 voter segment</w:t>
      </w:r>
    </w:p>
    <w:p>
      <w:pPr>
        <w:numPr>
          <w:ilvl w:val="0"/>
          <w:numId w:val="1006"/>
        </w:numPr>
        <w:pStyle w:val="Compact"/>
      </w:pPr>
      <w:r>
        <w:rPr>
          <w:bCs/>
          <w:b/>
        </w:rPr>
        <w:t xml:space="preserve">Host Citywide "Istanbul Budget Fair":</w:t>
      </w:r>
      <w:r>
        <w:t xml:space="preserve"> </w:t>
      </w:r>
      <w:r>
        <w:t xml:space="preserve">Transparent public forum where our Politician presents how campaign funds will allocate resources per district, building fiscal trust</w:t>
      </w:r>
    </w:p>
    <w:bookmarkEnd w:id="28"/>
    <w:bookmarkStart w:id="29" w:name="vii.-conclusion-the-istanbul-advantage"/>
    <w:p>
      <w:pPr>
        <w:pStyle w:val="Heading2"/>
      </w:pPr>
      <w:r>
        <w:t xml:space="preserve">VII. Conclusion: The Istanbul Advantage</w:t>
      </w:r>
    </w:p>
    <w:p>
      <w:pPr>
        <w:pStyle w:val="FirstParagraph"/>
      </w:pPr>
      <w:r>
        <w:t xml:space="preserve">This Sales Report conclusively demonstrates that Turkey Istanbul is not merely a political market to be won—it's a dynamic ecosystem where authentic value creation drives electoral success. Our Politician's unwavering focus on solving Istanbul-specific problems has transformed campaign engagement from transactional voter acquisition into genuine community partnership. With 38% of Istanbul residents now actively participating in our solution development process (compared to 12% industry average), we stand at the precipice of a historic election victory where political "sales" are defined not by promises, but by proven community impact.</w:t>
      </w:r>
    </w:p>
    <w:p>
      <w:pPr>
        <w:pStyle w:val="BodyText"/>
      </w:pPr>
      <w:r>
        <w:t xml:space="preserve">As our Politician stated during the recent Taksim Square town hall: "In Turkey Istanbul, you don't buy support—you earn it through actions that improve your neighbor's daily life. That's not politics; that's sales." This report proves our campaign is delivering exactly that—and Istanbul residents are voting with their trust.</w:t>
      </w:r>
    </w:p>
    <w:p>
      <w:pPr>
        <w:pStyle w:val="BodyText"/>
      </w:pPr>
      <w:r>
        <w:rPr>
          <w:bCs/>
          <w:b/>
        </w:rPr>
        <w:t xml:space="preserve">Appendix:</w:t>
      </w:r>
      <w:r>
        <w:t xml:space="preserve"> </w:t>
      </w:r>
      <w:r>
        <w:t xml:space="preserve">Full District Performance Data, Sentiment Analysis by Neighborhood, Digital Engagement Heat Maps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Politician Campaign Performance in Turkey Istanbul</dc:title>
  <dc:creator/>
  <cp:keywords/>
  <dcterms:created xsi:type="dcterms:W3CDTF">2026-07-24T17:02:20Z</dcterms:created>
  <dcterms:modified xsi:type="dcterms:W3CDTF">2026-07-24T17:02:20Z</dcterms:modified>
</cp:coreProperties>
</file>

<file path=docProps/custom.xml><?xml version="1.0" encoding="utf-8"?>
<Properties xmlns="http://schemas.openxmlformats.org/officeDocument/2006/custom-properties" xmlns:vt="http://schemas.openxmlformats.org/officeDocument/2006/docPropsVTypes"/>
</file>