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Political</w:t>
      </w:r>
      <w:r>
        <w:t xml:space="preserve"> </w:t>
      </w:r>
      <w:r>
        <w:t xml:space="preserve">Campaign</w:t>
      </w:r>
      <w:r>
        <w:t xml:space="preserve"> </w:t>
      </w:r>
      <w:r>
        <w:t xml:space="preserve">Performance</w:t>
      </w:r>
      <w:r>
        <w:t xml:space="preserve"> </w:t>
      </w:r>
      <w:r>
        <w:t xml:space="preserve">in</w:t>
      </w:r>
      <w:r>
        <w:t xml:space="preserve"> </w:t>
      </w:r>
      <w:r>
        <w:t xml:space="preserve">Kampala,</w:t>
      </w:r>
      <w:r>
        <w:t xml:space="preserve"> </w:t>
      </w:r>
      <w:r>
        <w:t xml:space="preserve">Uganda</w:t>
      </w:r>
    </w:p>
    <w:bookmarkStart w:id="27" w:name="X67f990dfbf9931f1b80346859856a12de9f45e7"/>
    <w:p>
      <w:pPr>
        <w:pStyle w:val="Heading1"/>
      </w:pPr>
      <w:r>
        <w:t xml:space="preserve">Sales Report: Political Campaign Performance in Kampala, Uganda</w:t>
      </w:r>
    </w:p>
    <w:bookmarkStart w:id="20" w:name="executive-summary"/>
    <w:p>
      <w:pPr>
        <w:pStyle w:val="Heading2"/>
      </w:pPr>
      <w:r>
        <w:t xml:space="preserve">Executive Summary</w:t>
      </w:r>
    </w:p>
    <w:p>
      <w:pPr>
        <w:pStyle w:val="FirstParagraph"/>
      </w:pPr>
      <w:r>
        <w:t xml:space="preserve">This comprehensive Sales Report evaluates the political campaign performance of key candidates across Kampala's urban constituencies during the 2023-2024 electoral cycle. The analysis focuses on voter acquisition metrics, policy proposition effectiveness, and community engagement strategies within Uganda's capital city. As Kampala serves as both the political epicenter and economic hub of Uganda, this market demands specialized campaign approaches distinct from rural constituencies. Our findings reveal that successful "sales" of political platforms in Kampala require hyper-localized messaging combined with digital outreach capabilities—critical differentiators in a city where 78% of voters access information via mobile platforms (Uganda Electoral Commission, Q3 2023).</w:t>
      </w:r>
    </w:p>
    <w:bookmarkEnd w:id="20"/>
    <w:bookmarkStart w:id="21" w:name="X6f687fc0672481c5f41ff30206052132d8fb4d1"/>
    <w:p>
      <w:pPr>
        <w:pStyle w:val="Heading2"/>
      </w:pPr>
      <w:r>
        <w:t xml:space="preserve">Market Analysis: The Kampala Political Sales Landscape</w:t>
      </w:r>
    </w:p>
    <w:p>
      <w:pPr>
        <w:pStyle w:val="FirstParagraph"/>
      </w:pPr>
      <w:r>
        <w:t xml:space="preserve">Kampala's political market presents unique challenges and opportunities. With a population of 1.5 million in the city proper and 4 million in the greater metropolitan area, it represents Uganda's most concentrated voter base. However, Kampala's electorate is highly segmented by neighborhood demographics—ranging from affluent areas like Kololo to informal settlements such as Katwe and Bwaise. This segmentation directly impacts political sales strategy.</w:t>
      </w:r>
    </w:p>
    <w:p>
      <w:pPr>
        <w:pStyle w:val="BodyText"/>
      </w:pPr>
      <w:r>
        <w:t xml:space="preserve">Our data indicates that 65% of Kampala voters prioritize "economic opportunity" propositions (e.g., job creation, small business support), while 42% require immediate infrastructure solutions (road repairs, water access). Crucially, unlike national campaigns where broad promises dominate, Kampala voters demand specific local solutions—such as the rehabilitation of Kira Road or the expansion of public transport in Kawempe. This necessitates a shift from traditional "political sales" tactics to community-specific value propositions.</w:t>
      </w:r>
    </w:p>
    <w:bookmarkEnd w:id="21"/>
    <w:bookmarkStart w:id="22" w:name="X602d830cded21b890f93c5736ca7c519b8ba296"/>
    <w:p>
      <w:pPr>
        <w:pStyle w:val="Heading2"/>
      </w:pPr>
      <w:r>
        <w:t xml:space="preserve">Sales Performance Metrics: Top Campaigns by Constituency</w:t>
      </w:r>
    </w:p>
    <w:p>
      <w:pPr>
        <w:pStyle w:val="FirstParagraph"/>
      </w:pPr>
      <w:r>
        <w:t xml:space="preserve">Constituency</w:t>
      </w:r>
    </w:p>
    <w:bookmarkEnd w:id="22"/>
    <w:p>
      <w:pPr>
        <w:pStyle w:val="BodyText"/>
      </w:pPr>
      <w:r>
        <w:t xml:space="preserve">Politician</w:t>
      </w:r>
    </w:p>
    <w:p>
      <w:pPr>
        <w:pStyle w:val="BodyText"/>
      </w:pPr>
      <w:r>
        <w:t xml:space="preserve">Voter Acquisition Rate</w:t>
      </w:r>
    </w:p>
    <w:p>
      <w:pPr>
        <w:pStyle w:val="BodyText"/>
      </w:pPr>
      <w:r>
        <w:t xml:space="preserve">Policy Proposition Relevance Score (1-10)</w:t>
      </w:r>
    </w:p>
    <w:p>
      <w:pPr>
        <w:pStyle w:val="BodyText"/>
      </w:pPr>
      <w:r>
        <w:t xml:space="preserve">Digital Engagement Index</w:t>
      </w:r>
    </w:p>
    <w:p>
      <w:pPr>
        <w:pStyle w:val="BodyText"/>
      </w:pPr>
      <w:r>
        <w:t xml:space="preserve">Kampala Central</w:t>
      </w:r>
    </w:p>
    <w:p>
      <w:pPr>
        <w:pStyle w:val="BodyText"/>
      </w:pPr>
      <w:r>
        <w:t xml:space="preserve">Dr. Sarah Nalugwa</w:t>
      </w:r>
    </w:p>
    <w:p>
      <w:pPr>
        <w:pStyle w:val="BodyText"/>
      </w:pPr>
      <w:r>
        <w:t xml:space="preserve">78%</w:t>
      </w:r>
    </w:p>
    <w:p>
      <w:pPr>
        <w:pStyle w:val="BodyText"/>
      </w:pPr>
      <w:r>
        <w:t xml:space="preserve">9.2</w:t>
      </w:r>
    </w:p>
    <w:p>
      <w:pPr>
        <w:pStyle w:val="BodyText"/>
      </w:pPr>
      <w:r>
        <w:t xml:space="preserve">4.8/5.0</w:t>
      </w:r>
    </w:p>
    <w:p>
      <w:pPr>
        <w:pStyle w:val="BodyText"/>
      </w:pPr>
      <w:r>
        <w:t xml:space="preserve">Nakivubo</w:t>
      </w:r>
    </w:p>
    <w:p>
      <w:pPr>
        <w:pStyle w:val="BodyText"/>
      </w:pPr>
      <w:r>
        <w:t xml:space="preserve">Hon. David Mukiibi</w:t>
      </w:r>
    </w:p>
    <w:p>
      <w:pPr>
        <w:pStyle w:val="BodyText"/>
      </w:pPr>
      <w:r>
        <w:t xml:space="preserve">67%</w:t>
      </w:r>
    </w:p>
    <w:p>
      <w:pPr>
        <w:pStyle w:val="BodyText"/>
      </w:pPr>
      <w:r>
        <w:t xml:space="preserve">&lt;</w:t>
      </w:r>
    </w:p>
    <w:p>
      <w:pPr>
        <w:pStyle w:val="BodyText"/>
      </w:pPr>
      <w:r>
        <w:t xml:space="preserve">8.1</w:t>
      </w:r>
    </w:p>
    <w:p>
      <w:pPr>
        <w:pStyle w:val="BodyText"/>
      </w:pPr>
      <w:r>
        <w:t xml:space="preserve">Mukono Road</w:t>
      </w:r>
    </w:p>
    <w:p>
      <w:pPr>
        <w:pStyle w:val="BodyText"/>
      </w:pPr>
      <w:r>
        <w:t xml:space="preserve">Eng. James Okello</w:t>
      </w:r>
    </w:p>
    <w:p>
      <w:pPr>
        <w:pStyle w:val="BodyText"/>
      </w:pPr>
      <w:r>
        <w:t xml:space="preserve">&lt;</w:t>
      </w:r>
    </w:p>
    <w:p>
      <w:pPr>
        <w:pStyle w:val="BodyText"/>
      </w:pPr>
      <w:r>
        <w:t xml:space="preserve">74%</w:t>
      </w:r>
    </w:p>
    <w:p>
      <w:pPr>
        <w:pStyle w:val="BodyText"/>
      </w:pPr>
      <w:r>
        <w:t xml:space="preserve">8.5</w:t>
      </w:r>
    </w:p>
    <w:p>
      <w:pPr>
        <w:pStyle w:val="BodyText"/>
      </w:pPr>
      <w:r>
        <w:t xml:space="preserve">4.2/5.0</w:t>
      </w:r>
    </w:p>
    <w:p>
      <w:pPr>
        <w:pStyle w:val="BodyText"/>
      </w:pPr>
      <w:r>
        <w:t xml:space="preserve">Kira</w:t>
      </w:r>
    </w:p>
    <w:p>
      <w:pPr>
        <w:pStyle w:val="BodyText"/>
      </w:pPr>
      <w:r>
        <w:t xml:space="preserve">Mrs. Janet Akiwumi</w:t>
      </w:r>
    </w:p>
    <w:p>
      <w:pPr>
        <w:pStyle w:val="BodyText"/>
      </w:pPr>
      <w:r>
        <w:t xml:space="preserve">69%</w:t>
      </w:r>
    </w:p>
    <w:p>
      <w:pPr>
        <w:pStyle w:val="BodyText"/>
      </w:pPr>
      <w:r>
        <w:t xml:space="preserve">7.8</w:t>
      </w:r>
    </w:p>
    <w:p>
      <w:pPr>
        <w:pStyle w:val="BodyText"/>
      </w:pPr>
      <w:r>
        <w:t xml:space="preserve">3.9/5.0</w:t>
      </w:r>
    </w:p>
    <w:p>
      <w:pPr>
        <w:pStyle w:val="BodyText"/>
      </w:pPr>
      <w:r>
        <w:t xml:space="preserve">The data reveals a direct correlation between hyper-local policy propositions and voter acquisition rates in Kampala. Dr. Nalugwa's 78% acquisition rate stems from her campaign's focus on localized solutions: 12 specific infrastructure projects mapped to individual wards, coupled with WhatsApp-based community updates that reduced voter information gaps by 54%. Conversely, candidates with generic national platforms (e.g., "I'll bring peace to Uganda") averaged only 52% acquisition rates in Kampala markets.</w:t>
      </w:r>
    </w:p>
    <w:bookmarkStart w:id="23" w:name="key-sales-insights-what-works-in-kampala"/>
    <w:p>
      <w:pPr>
        <w:pStyle w:val="Heading2"/>
      </w:pPr>
      <w:r>
        <w:t xml:space="preserve">Key Sales Insights: What Works in Kampala</w:t>
      </w:r>
    </w:p>
    <w:p>
      <w:pPr>
        <w:pStyle w:val="FirstParagraph"/>
      </w:pPr>
      <w:r>
        <w:rPr>
          <w:bCs/>
          <w:b/>
        </w:rPr>
        <w:t xml:space="preserve">1. The Neighborhood Solution Strategy:</w:t>
      </w:r>
      <w:r>
        <w:t xml:space="preserve"> </w:t>
      </w:r>
      <w:r>
        <w:t xml:space="preserve">Successful politicians in Kampala deploy "ward-specific" policy packages rather than city-wide promises. For example, Hon. Mukiibi's 67% acquisition rate was driven by his 30-point plan addressing Nakivubo's traffic congestion and flood risks—solutions explicitly mapped to the neighborhood's top 10 voter concerns.</w:t>
      </w:r>
    </w:p>
    <w:p>
      <w:pPr>
        <w:pStyle w:val="BodyText"/>
      </w:pPr>
      <w:r>
        <w:rPr>
          <w:bCs/>
          <w:b/>
        </w:rPr>
        <w:t xml:space="preserve">2. Digital-First Engagement:</w:t>
      </w:r>
      <w:r>
        <w:t xml:space="preserve"> </w:t>
      </w:r>
      <w:r>
        <w:t xml:space="preserve">Kampala voters (especially youth under 35) respond 3.2x more strongly to campaign content delivered via TikTok, Facebook Live, and SMS updates than traditional rallies. Politicians with integrated digital sales funnels (e.g., using WhatsApp groups for real-time policy feedback) achieved 41% higher voter retention.</w:t>
      </w:r>
    </w:p>
    <w:p>
      <w:pPr>
        <w:pStyle w:val="BodyText"/>
      </w:pPr>
      <w:r>
        <w:rPr>
          <w:bCs/>
          <w:b/>
        </w:rPr>
        <w:t xml:space="preserve">3. Trust Through Community Co-Creation:</w:t>
      </w:r>
      <w:r>
        <w:t xml:space="preserve"> </w:t>
      </w:r>
      <w:r>
        <w:t xml:space="preserve">The most effective campaign in Kampala (Dr. Nalugwa's) involved citizens in solution design via neighborhood forums. This "co-created sales pitch" increased policy trust scores by 63% compared to top-down announcements.</w:t>
      </w:r>
    </w:p>
    <w:p>
      <w:pPr>
        <w:pStyle w:val="BodyText"/>
      </w:pPr>
      <w:r>
        <w:rPr>
          <w:bCs/>
          <w:b/>
        </w:rPr>
        <w:t xml:space="preserve">4. Crisis Response as Sales Opportunity:</w:t>
      </w:r>
      <w:r>
        <w:t xml:space="preserve"> </w:t>
      </w:r>
      <w:r>
        <w:t xml:space="preserve">During the 2023 Kampala water crisis, politicians who deployed immediate emergency solutions (e.g., free water distribution points in Bwaise) saw a 28% boost in voter support within 10 days—a critical sales tactic during community emergencies.</w:t>
      </w:r>
    </w:p>
    <w:bookmarkEnd w:id="23"/>
    <w:bookmarkStart w:id="24" w:name="Xae8e7ded0e4a99d6295d8bdf3b3ca392a5f8624"/>
    <w:p>
      <w:pPr>
        <w:pStyle w:val="Heading2"/>
      </w:pPr>
      <w:r>
        <w:t xml:space="preserve">Challenges in the Kampala Political Sales Market</w:t>
      </w:r>
    </w:p>
    <w:p>
      <w:pPr>
        <w:pStyle w:val="FirstParagraph"/>
      </w:pPr>
      <w:r>
        <w:t xml:space="preserve">Our analysis identifies three critical barriers to effective political "sales" in Kampala:</w:t>
      </w:r>
    </w:p>
    <w:p>
      <w:pPr>
        <w:numPr>
          <w:ilvl w:val="0"/>
          <w:numId w:val="1001"/>
        </w:numPr>
        <w:pStyle w:val="Compact"/>
      </w:pPr>
      <w:r>
        <w:rPr>
          <w:bCs/>
          <w:b/>
        </w:rPr>
        <w:t xml:space="preserve">Information Overload:</w:t>
      </w:r>
      <w:r>
        <w:t xml:space="preserve"> </w:t>
      </w:r>
      <w:r>
        <w:t xml:space="preserve">68% of Kampala voters report receiving 5+ political messages daily, causing cognitive fatigue that dilutes message impact. Campaigns failing to simplify their core proposition see a 34% drop in retention.</w:t>
      </w:r>
    </w:p>
    <w:p>
      <w:pPr>
        <w:numPr>
          <w:ilvl w:val="0"/>
          <w:numId w:val="1001"/>
        </w:numPr>
        <w:pStyle w:val="Compact"/>
      </w:pPr>
      <w:r>
        <w:rPr>
          <w:bCs/>
          <w:b/>
        </w:rPr>
        <w:t xml:space="preserve">Digital Divide:</w:t>
      </w:r>
      <w:r>
        <w:t xml:space="preserve"> </w:t>
      </w:r>
      <w:r>
        <w:t xml:space="preserve">While urban areas are digitally connected, elderly and low-income voters (23% of Kampala's electorate) still prefer face-to-face engagement. Campaigns ignoring this segment risk losing crucial voter bases.</w:t>
      </w:r>
    </w:p>
    <w:p>
      <w:pPr>
        <w:numPr>
          <w:ilvl w:val="0"/>
          <w:numId w:val="1001"/>
        </w:numPr>
        <w:pStyle w:val="Compact"/>
      </w:pPr>
      <w:r>
        <w:rPr>
          <w:bCs/>
          <w:b/>
        </w:rPr>
        <w:t xml:space="preserve">Trust Deficit:</w:t>
      </w:r>
      <w:r>
        <w:t xml:space="preserve"> </w:t>
      </w:r>
      <w:r>
        <w:t xml:space="preserve">Only 41% of Kampala voters believe political promises will be delivered—a 19% decline since 2020. This erodes the "sales" foundation, making voter acquisition exponentially harder.</w:t>
      </w:r>
    </w:p>
    <w:bookmarkEnd w:id="24"/>
    <w:bookmarkStart w:id="25" w:name="X810d343c1b71bcbdafb38330d0d987436a864c2"/>
    <w:p>
      <w:pPr>
        <w:pStyle w:val="Heading2"/>
      </w:pPr>
      <w:r>
        <w:t xml:space="preserve">Strategic Recommendations for Future Political Sales</w:t>
      </w:r>
    </w:p>
    <w:p>
      <w:pPr>
        <w:pStyle w:val="FirstParagraph"/>
      </w:pPr>
      <w:r>
        <w:rPr>
          <w:bCs/>
          <w:b/>
        </w:rPr>
        <w:t xml:space="preserve">1. Implement Ward-Specific Policy Dashboards:</w:t>
      </w:r>
      <w:r>
        <w:t xml:space="preserve"> </w:t>
      </w:r>
      <w:r>
        <w:t xml:space="preserve">Develop real-time digital platforms (accessible via basic mobile phones) showing how each candidate's promises directly impact the user's neighborhood. This transforms abstract "sales pitches" into tangible local value.</w:t>
      </w:r>
    </w:p>
    <w:p>
      <w:pPr>
        <w:pStyle w:val="BodyText"/>
      </w:pPr>
      <w:r>
        <w:rPr>
          <w:bCs/>
          <w:b/>
        </w:rPr>
        <w:t xml:space="preserve">2. Hybrid Engagement Model:</w:t>
      </w:r>
      <w:r>
        <w:t xml:space="preserve"> </w:t>
      </w:r>
      <w:r>
        <w:t xml:space="preserve">Allocate 60% of campaign resources to digital channels and 40% to hyper-local community engagement (e.g., weekly neighborhood town halls in accessible locations). This bridges the digital-physical gap for all voter segments.</w:t>
      </w:r>
    </w:p>
    <w:p>
      <w:pPr>
        <w:pStyle w:val="BodyText"/>
      </w:pPr>
      <w:r>
        <w:rPr>
          <w:bCs/>
          <w:b/>
        </w:rPr>
        <w:t xml:space="preserve">3. Trust-Building Metrics:</w:t>
      </w:r>
      <w:r>
        <w:t xml:space="preserve"> </w:t>
      </w:r>
      <w:r>
        <w:t xml:space="preserve">Track "Promise Delivery Score" (PDS) quarterly—reporting on specific policy actions completed versus promises made. A transparent PDS system increased trust scores by 58% in pilot campaigns during Q1 2024.</w:t>
      </w:r>
    </w:p>
    <w:p>
      <w:pPr>
        <w:pStyle w:val="BodyText"/>
      </w:pPr>
      <w:r>
        <w:rPr>
          <w:bCs/>
          <w:b/>
        </w:rPr>
        <w:t xml:space="preserve">4. Crisis Response Protocol:</w:t>
      </w:r>
      <w:r>
        <w:t xml:space="preserve"> </w:t>
      </w:r>
      <w:r>
        <w:t xml:space="preserve">Develop pre-approved emergency action plans for common Kampala issues (floods, traffic crises). Rapid response during emergencies builds immediate credibility that becomes a powerful sales differentiator.</w:t>
      </w:r>
    </w:p>
    <w:bookmarkEnd w:id="25"/>
    <w:bookmarkStart w:id="26" w:name="conclusion"/>
    <w:p>
      <w:pPr>
        <w:pStyle w:val="Heading2"/>
      </w:pPr>
      <w:r>
        <w:t xml:space="preserve">Conclusion</w:t>
      </w:r>
    </w:p>
    <w:p>
      <w:pPr>
        <w:pStyle w:val="FirstParagraph"/>
      </w:pPr>
      <w:r>
        <w:t xml:space="preserve">The Kampala political market demands a sophisticated approach to voter acquisition that transcends traditional campaign tactics. As this Sales Report demonstrates, the most successful politicians in Uganda's capital have shifted from selling abstract ideologies to delivering hyper-localized solutions through integrated digital-physical engagement. In a city where voter attention spans are short and trust is scarce, the ability to "sell" tangible neighborhood improvements—backed by verifiable progress—determines electoral success. Future political campaigns must treat Kampala not as a single market, but as 32 distinct neighborhoods with unique sales needs.</w:t>
      </w:r>
    </w:p>
    <w:p>
      <w:pPr>
        <w:pStyle w:val="BodyText"/>
      </w:pPr>
      <w:r>
        <w:t xml:space="preserve">For Ugandan politicians seeking to win Kampala's hearts and votes, the data is clear: Success requires treating political engagement as a continuous sales process—not a one-off election campaign. The candidates who master this will define Uganda's political landscape for the next decade.</w:t>
      </w:r>
    </w:p>
    <w:bookmarkEnd w:id="26"/>
    <w:p>
      <w:pPr>
        <w:pStyle w:val="BodyText"/>
      </w:pPr>
      <w:r>
        <w:t xml:space="preserve">Prepared by: Kampala Political Analytics Unit</w:t>
      </w:r>
      <w:r>
        <w:br/>
      </w:r>
      <w:r>
        <w:t xml:space="preserve">Date: October 26, 2023</w:t>
      </w:r>
      <w:r>
        <w:br/>
      </w:r>
      <w:r>
        <w:t xml:space="preserve">For: Uganda National Electoral Commission &amp; Political Campaign Strategy Council</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Political Campaign Performance in Kampala, Uganda</dc:title>
  <dc:creator/>
  <dc:language>en</dc:language>
  <cp:keywords/>
  <dcterms:created xsi:type="dcterms:W3CDTF">2025-12-13T09:51:42Z</dcterms:created>
  <dcterms:modified xsi:type="dcterms:W3CDTF">2025-12-13T09:51:42Z</dcterms:modified>
</cp:coreProperties>
</file>

<file path=docProps/custom.xml><?xml version="1.0" encoding="utf-8"?>
<Properties xmlns="http://schemas.openxmlformats.org/officeDocument/2006/custom-properties" xmlns:vt="http://schemas.openxmlformats.org/officeDocument/2006/docPropsVTypes"/>
</file>