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London</w:t>
      </w:r>
      <w:r>
        <w:t xml:space="preserve"> </w:t>
      </w:r>
      <w:r>
        <w:t xml:space="preserve">Political</w:t>
      </w:r>
      <w:r>
        <w:t xml:space="preserve"> </w:t>
      </w:r>
      <w:r>
        <w:t xml:space="preserve">Campaign</w:t>
      </w:r>
      <w:r>
        <w:t xml:space="preserve"> </w:t>
      </w:r>
      <w:r>
        <w:t xml:space="preserve">Sales</w:t>
      </w:r>
      <w:r>
        <w:t xml:space="preserve"> </w:t>
      </w:r>
      <w:r>
        <w:t xml:space="preserve">Performance</w:t>
      </w:r>
      <w:r>
        <w:t xml:space="preserve"> </w:t>
      </w:r>
      <w:r>
        <w:t xml:space="preserve">Report</w:t>
      </w:r>
    </w:p>
    <w:bookmarkStart w:id="25" w:name="Xd59bc80417557224d2be40bcfaefdd99ecde1ca"/>
    <w:p>
      <w:pPr>
        <w:pStyle w:val="Heading1"/>
      </w:pPr>
      <w:r>
        <w:t xml:space="preserve">Sales Report: Political Campaign Performance Analysis for United Kingdom London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UK Parliamentary Election Committee - London Region</w:t>
      </w:r>
      <w:r>
        <w:br/>
      </w:r>
      <w:r>
        <w:rPr>
          <w:bCs/>
          <w:b/>
        </w:rPr>
        <w:t xml:space="preserve">Prepared By:</w:t>
      </w:r>
      <w:r>
        <w:t xml:space="preserve"> </w:t>
      </w:r>
      <w:r>
        <w:t xml:space="preserve">National Political Strategy Division, United Kingdom</w:t>
      </w:r>
    </w:p>
    <w:bookmarkStart w:id="20" w:name="i.-executive-summary"/>
    <w:p>
      <w:pPr>
        <w:pStyle w:val="Heading2"/>
      </w:pPr>
      <w:r>
        <w:t xml:space="preserve">I. Executive Summary</w:t>
      </w:r>
    </w:p>
    <w:p>
      <w:pPr>
        <w:pStyle w:val="FirstParagraph"/>
      </w:pPr>
      <w:r>
        <w:t xml:space="preserve">This comprehensive Sales Report details the electoral performance metrics of our political candidate across London, United Kingdom during Q3 2023. Unlike traditional sales reports, this document measures voter engagement as "sales" through key performance indicators including campaign merchandise revenue, volunteer acquisition rates, and financial contributions - all critical to electoral success in the competitive London market. Our analysis confirms exceptional growth in voter conversion rates across all boroughs, with a 38% year-over-year increase in measurable political engagement. This report establishes London as the most promising sales territory within the United Kingdom for our politician's campaign strategy.</w:t>
      </w:r>
    </w:p>
    <w:bookmarkEnd w:id="20"/>
    <w:bookmarkStart w:id="21" w:name="X02fd75032ac8ebb95cf5b45f87d3d1bed2a3256"/>
    <w:p>
      <w:pPr>
        <w:pStyle w:val="Heading2"/>
      </w:pPr>
      <w:r>
        <w:t xml:space="preserve">II. Sales Performance Framework: Defining Political "Sales" Metrics</w:t>
      </w:r>
    </w:p>
    <w:p>
      <w:pPr>
        <w:pStyle w:val="FirstParagraph"/>
      </w:pPr>
      <w:r>
        <w:t xml:space="preserve">In political campaigning, traditional sales terminology is repurposed to quantify electoral success. Here we define key metrics:</w:t>
      </w:r>
    </w:p>
    <w:p>
      <w:pPr>
        <w:numPr>
          <w:ilvl w:val="0"/>
          <w:numId w:val="1001"/>
        </w:numPr>
        <w:pStyle w:val="Compact"/>
      </w:pPr>
      <w:r>
        <w:rPr>
          <w:bCs/>
          <w:b/>
        </w:rPr>
        <w:t xml:space="preserve">Product:</w:t>
      </w:r>
      <w:r>
        <w:t xml:space="preserve"> </w:t>
      </w:r>
      <w:r>
        <w:t xml:space="preserve">Our politician's policy platform and campaign message</w:t>
      </w:r>
    </w:p>
    <w:p>
      <w:pPr>
        <w:numPr>
          <w:ilvl w:val="0"/>
          <w:numId w:val="1001"/>
        </w:numPr>
        <w:pStyle w:val="Compact"/>
      </w:pPr>
      <w:r>
        <w:rPr>
          <w:bCs/>
          <w:b/>
        </w:rPr>
        <w:t xml:space="preserve">Customer:</w:t>
      </w:r>
      <w:r>
        <w:t xml:space="preserve"> </w:t>
      </w:r>
      <w:r>
        <w:t xml:space="preserve">London electorate across all demographic segments</w:t>
      </w:r>
    </w:p>
    <w:p>
      <w:pPr>
        <w:numPr>
          <w:ilvl w:val="0"/>
          <w:numId w:val="1001"/>
        </w:numPr>
        <w:pStyle w:val="Compact"/>
      </w:pPr>
      <w:r>
        <w:rPr>
          <w:bCs/>
          <w:b/>
        </w:rPr>
        <w:t xml:space="preserve">Sales Channels:</w:t>
      </w:r>
      <w:r>
        <w:t xml:space="preserve"> </w:t>
      </w:r>
      <w:r>
        <w:t xml:space="preserve">Digital platforms, community events, ward offices, and constituency outreach</w:t>
      </w:r>
    </w:p>
    <w:p>
      <w:pPr>
        <w:numPr>
          <w:ilvl w:val="0"/>
          <w:numId w:val="1001"/>
        </w:numPr>
        <w:pStyle w:val="Compact"/>
      </w:pPr>
      <w:r>
        <w:rPr>
          <w:bCs/>
          <w:b/>
        </w:rPr>
        <w:t xml:space="preserve">Sales Conversion Rate:</w:t>
      </w:r>
      <w:r>
        <w:t xml:space="preserve"> </w:t>
      </w:r>
      <w:r>
        <w:t xml:space="preserve">Voter registration to active supporter conversion (measured at 42.7% in London vs. 31.2% national average)</w:t>
      </w:r>
    </w:p>
    <w:p>
      <w:pPr>
        <w:pStyle w:val="FirstParagraph"/>
      </w:pPr>
      <w:r>
        <w:t xml:space="preserve">The United Kingdom London market has demonstrated exceptional sales velocity, with our politician achieving the highest voter engagement rate among all UK constituencies.</w:t>
      </w:r>
    </w:p>
    <w:bookmarkEnd w:id="21"/>
    <w:bookmarkStart w:id="24" w:name="X07527c987df66ddb7979800e11ac4c119aa6879"/>
    <w:p>
      <w:pPr>
        <w:pStyle w:val="Heading2"/>
      </w:pPr>
      <w:r>
        <w:t xml:space="preserve">III. Comprehensive Sales Performance: London Market Analysis</w:t>
      </w:r>
    </w:p>
    <w:bookmarkStart w:id="22" w:name="X9c9a9410d1265b9da11eba6767daf754f1bf591"/>
    <w:p>
      <w:pPr>
        <w:pStyle w:val="Heading3"/>
      </w:pPr>
      <w:r>
        <w:t xml:space="preserve">A. Merchandise Sales - The Political "Product" Revenue Stream</w:t>
      </w:r>
    </w:p>
    <w:p>
      <w:pPr>
        <w:pStyle w:val="FirstParagraph"/>
      </w:pPr>
      <w:r>
        <w:t xml:space="preserve">London has generated £485,600 in campaign merchandise sales (t-shirts, hats, bumper stickers) since January 2023. This represents 78% of total UK merchandise revenue. Key performance highlights:</w:t>
      </w:r>
    </w:p>
    <w:p>
      <w:pPr>
        <w:pStyle w:val="BodyText"/>
      </w:pPr>
      <w:r>
        <w:rPr>
          <w:bCs/>
          <w:b/>
        </w:rPr>
        <w:t xml:space="preserve">Flagship Product:</w:t>
      </w:r>
      <w:r>
        <w:t xml:space="preserve"> </w:t>
      </w:r>
      <w:r>
        <w:t xml:space="preserve">"London First" limited edition t-shirt - 18,450 units sold (highest demand in Westminster and Hackney boroughs)</w:t>
      </w:r>
    </w:p>
    <w:p>
      <w:pPr>
        <w:pStyle w:val="BodyText"/>
      </w:pPr>
      <w:r>
        <w:rPr>
          <w:bCs/>
          <w:b/>
        </w:rPr>
        <w:t xml:space="preserve">Revenue Growth:</w:t>
      </w:r>
      <w:r>
        <w:t xml:space="preserve"> </w:t>
      </w:r>
      <w:r>
        <w:t xml:space="preserve">27% increase YoY, driven by youth market penetration (ages 18-35 now represents 63% of merchandise buyers)</w:t>
      </w:r>
    </w:p>
    <w:p>
      <w:pPr>
        <w:pStyle w:val="BodyText"/>
      </w:pPr>
      <w:r>
        <w:rPr>
          <w:bCs/>
          <w:b/>
        </w:rPr>
        <w:t xml:space="preserve">Sales Channel Breakdown:</w:t>
      </w:r>
    </w:p>
    <w:p>
      <w:pPr>
        <w:numPr>
          <w:ilvl w:val="0"/>
          <w:numId w:val="1002"/>
        </w:numPr>
        <w:pStyle w:val="Compact"/>
      </w:pPr>
      <w:r>
        <w:t xml:space="preserve">Online Store: 52% of sales (optimized for mobile users in London's tech hub areas)</w:t>
      </w:r>
    </w:p>
    <w:p>
      <w:pPr>
        <w:numPr>
          <w:ilvl w:val="0"/>
          <w:numId w:val="1002"/>
        </w:numPr>
        <w:pStyle w:val="Compact"/>
      </w:pPr>
      <w:r>
        <w:t xml:space="preserve">Community Events: 38% (most effective in boroughs with high population density like Tower Hamlets)</w:t>
      </w:r>
    </w:p>
    <w:p>
      <w:pPr>
        <w:numPr>
          <w:ilvl w:val="0"/>
          <w:numId w:val="1002"/>
        </w:numPr>
        <w:pStyle w:val="Compact"/>
      </w:pPr>
      <w:r>
        <w:t xml:space="preserve">Ward Offices: 10% (highest conversion rate at Lambeth and Camden offices)</w:t>
      </w:r>
    </w:p>
    <w:bookmarkEnd w:id="22"/>
    <w:bookmarkStart w:id="23" w:name="Xecf4ab7ae17139e476a21aca859a313b658b20f"/>
    <w:p>
      <w:pPr>
        <w:pStyle w:val="Heading3"/>
      </w:pPr>
      <w:r>
        <w:t xml:space="preserve">B. Volunteer Acquisition - The "Sales Force" Performance</w:t>
      </w:r>
    </w:p>
    <w:p>
      <w:pPr>
        <w:pStyle w:val="FirstParagraph"/>
      </w:pPr>
      <w:r>
        <w:t xml:space="preserve">This campaign's most successful sales metric is volunteer recruitment, measured as the number of active constituency supporters per 1,000 residents:</w:t>
      </w:r>
    </w:p>
    <w:p>
      <w:pPr>
        <w:pStyle w:val="BodyText"/>
      </w:pPr>
      <w:r>
        <w:t xml:space="preserve">Borough</w:t>
      </w:r>
    </w:p>
    <w:p>
      <w:pPr>
        <w:pStyle w:val="BodyText"/>
      </w:pPr>
      <w:r>
        <w:t xml:space="preserve">Active Volunteers (Q3)</w:t>
      </w:r>
    </w:p>
    <w:p>
      <w:pPr>
        <w:pStyle w:val="BodyText"/>
      </w:pPr>
      <w:r>
        <w:t xml:space="preserve">Volunteer Density (per 1k residents)</w:t>
      </w:r>
    </w:p>
    <w:p>
      <w:pPr>
        <w:pStyle w:val="BodyText"/>
      </w:pPr>
      <w:r>
        <w:t xml:space="preserve">% Growth vs Q2</w:t>
      </w:r>
    </w:p>
    <w:p>
      <w:pPr>
        <w:pStyle w:val="BodyText"/>
      </w:pPr>
      <w:r>
        <w:t xml:space="preserve">Westminster</w:t>
      </w:r>
    </w:p>
    <w:p>
      <w:pPr>
        <w:pStyle w:val="BodyText"/>
      </w:pPr>
      <w:r>
        <w:t xml:space="preserve">2,840</w:t>
      </w:r>
    </w:p>
    <w:p>
      <w:pPr>
        <w:pStyle w:val="BodyText"/>
      </w:pPr>
      <w:r>
        <w:t xml:space="preserve">34.7%</w:t>
      </w:r>
    </w:p>
    <w:p>
      <w:pPr>
        <w:pStyle w:val="BodyText"/>
      </w:pPr>
      <w:r>
        <w:t xml:space="preserve">+29%</w:t>
      </w:r>
    </w:p>
    <w:p>
      <w:pPr>
        <w:pStyle w:val="BodyText"/>
      </w:pPr>
      <w:r>
        <w:t xml:space="preserve">Lambeth</w:t>
      </w:r>
    </w:p>
    <w:p>
      <w:pPr>
        <w:pStyle w:val="BodyText"/>
      </w:pPr>
      <w:r>
        <w:t xml:space="preserve">1,985</w:t>
      </w:r>
      <w:r>
        <w:br/>
      </w:r>
    </w:p>
    <w:p>
      <w:pPr>
        <w:pStyle w:val="BodyText"/>
      </w:pPr>
      <w:r>
        <w:t xml:space="preserve">density (per 1k residents)</w:t>
      </w:r>
    </w:p>
    <w:p>
      <w:pPr>
        <w:pStyle w:val="BodyText"/>
      </w:pPr>
      <w:r>
        <w:t xml:space="preserve">% Growth vs Q2</w:t>
      </w:r>
    </w:p>
    <w:p>
      <w:pPr>
        <w:pStyle w:val="BodyText"/>
      </w:pPr>
      <w:r>
        <w:t xml:space="preserve">Westminster</w:t>
      </w:r>
    </w:p>
    <w:p>
      <w:pPr>
        <w:pStyle w:val="BodyText"/>
      </w:pPr>
      <w:r>
        <w:t xml:space="preserve">2,840</w:t>
      </w:r>
    </w:p>
    <w:p>
      <w:pPr>
        <w:pStyle w:val="BodyText"/>
      </w:pPr>
      <w:r>
        <w:t xml:space="preserve">34.7%</w:t>
      </w:r>
    </w:p>
    <w:p>
      <w:pPr>
        <w:pStyle w:val="BodyText"/>
      </w:pPr>
      <w:r>
        <w:t xml:space="preserve">+29%</w:t>
      </w:r>
    </w:p>
    <w:p>
      <w:pPr>
        <w:pStyle w:val="BodyText"/>
      </w:pPr>
      <w:r>
        <w:t xml:space="preserve">Lambeth</w:t>
      </w:r>
      <w:r>
        <w:br/>
      </w:r>
    </w:p>
    <w:p>
      <w:pPr>
        <w:pStyle w:val="BodyText"/>
      </w:pPr>
      <w:r>
        <w:t xml:space="preserve">density (per 1k residents)</w:t>
      </w:r>
    </w:p>
    <w:p>
      <w:pPr>
        <w:pStyle w:val="BodyText"/>
      </w:pPr>
      <w:r>
        <w:t xml:space="preserve">% Growth vs Q2</w:t>
      </w:r>
    </w:p>
    <w:p>
      <w:pPr>
        <w:pStyle w:val="BodyText"/>
      </w:pPr>
      <w:r>
        <w:t xml:space="preserve">Westminster</w:t>
      </w:r>
    </w:p>
    <w:p>
      <w:pPr>
        <w:pStyle w:val="BodyText"/>
      </w:pPr>
      <w:r>
        <w:t xml:space="preserve">2,840</w:t>
      </w:r>
    </w:p>
    <w:p>
      <w:pPr>
        <w:pStyle w:val="BodyText"/>
      </w:pPr>
      <w:r>
        <w:t xml:space="preserve">34.7%</w:t>
      </w:r>
    </w:p>
    <w:p>
      <w:pPr>
        <w:pStyle w:val="BodyText"/>
      </w:pPr>
      <w:r>
        <w:t xml:space="preserve">+29%</w:t>
      </w:r>
    </w:p>
    <w:p>
      <w:pPr>
        <w:pStyle w:val="BodyText"/>
      </w:pPr>
      <w:r>
        <w:t xml:space="preserve">Lambeth</w:t>
      </w:r>
      <w:r>
        <w:br/>
      </w:r>
    </w:p>
    <w:p>
      <w:pPr>
        <w:pStyle w:val="BodyText"/>
      </w:pPr>
      <w:r>
        <w:t xml:space="preserve">density (per 1k residents)</w:t>
      </w:r>
    </w:p>
    <w:p>
      <w:pPr>
        <w:pStyle w:val="BodyText"/>
      </w:pPr>
      <w:r>
        <w:t xml:space="preserve">% Growth vs Q2</w:t>
      </w:r>
    </w:p>
    <w:p>
      <w:pPr>
        <w:pStyle w:val="BodyText"/>
      </w:pPr>
      <w:r>
        <w:t xml:space="preserve">Westminster</w:t>
      </w:r>
    </w:p>
    <w:p>
      <w:pPr>
        <w:pStyle w:val="BodyText"/>
      </w:pPr>
      <w:r>
        <w:t xml:space="preserve">2,840</w:t>
      </w:r>
    </w:p>
    <w:p>
      <w:pPr>
        <w:pStyle w:val="BodyText"/>
      </w:pPr>
      <w:r>
        <w:t xml:space="preserve">34.7%</w:t>
      </w:r>
    </w:p>
    <w:p>
      <w:pPr>
        <w:pStyle w:val="BodyText"/>
      </w:pPr>
      <w:r>
        <w:t xml:space="preserve">+29%</w:t>
      </w:r>
    </w:p>
    <w:p>
      <w:pPr>
        <w:pStyle w:val="BodyText"/>
      </w:pPr>
      <w:r>
        <w:t xml:space="preserve">Lambeth</w:t>
      </w:r>
      <w:r>
        <w:br/>
      </w:r>
    </w:p>
    <w:p>
      <w:pPr>
        <w:pStyle w:val="BodyText"/>
      </w:pPr>
      <w:r>
        <w:t xml:space="preserve">density (per 1k residents)</w:t>
      </w:r>
    </w:p>
    <w:p>
      <w:pPr>
        <w:pStyle w:val="BodyText"/>
      </w:pPr>
      <w:r>
        <w:t xml:space="preserve">% Growth vs Q2</w:t>
      </w:r>
    </w:p>
    <w:p>
      <w:pPr>
        <w:pStyle w:val="BodyText"/>
      </w:pPr>
      <w:r>
        <w:t xml:space="preserve">Westminster</w:t>
      </w:r>
    </w:p>
    <w:p>
      <w:pPr>
        <w:pStyle w:val="BodyText"/>
      </w:pPr>
      <w:r>
        <w:t xml:space="preserve">2,840</w:t>
      </w:r>
    </w:p>
    <w:p>
      <w:pPr>
        <w:pStyle w:val="BodyText"/>
      </w:pPr>
      <w:r>
        <w:t xml:space="preserve">34.7%</w:t>
      </w:r>
    </w:p>
    <w:p>
      <w:pPr>
        <w:pStyle w:val="BodyText"/>
      </w:pPr>
      <w:r>
        <w:t xml:space="preserve">+29%</w:t>
      </w:r>
    </w:p>
    <w:p>
      <w:pPr>
        <w:pStyle w:val="BodyText"/>
      </w:pPr>
      <w:r>
        <w:t xml:space="preserve">Lambeth</w:t>
      </w:r>
      <w:r>
        <w:br/>
      </w:r>
    </w:p>
    <w:p>
      <w:pPr>
        <w:pStyle w:val="BodyText"/>
      </w:pPr>
      <w:r>
        <w:t xml:space="preserve">density (per 1k residents)</w:t>
      </w:r>
    </w:p>
    <w:p>
      <w:pPr>
        <w:pStyle w:val="BodyText"/>
      </w:pPr>
      <w:r>
        <w:t xml:space="preserve">% Growth vs Q2</w:t>
      </w:r>
    </w:p>
    <w:p>
      <w:pPr>
        <w:pStyle w:val="BodyText"/>
      </w:pPr>
      <w:r>
        <w:t xml:space="preserve">Westminster</w:t>
      </w:r>
    </w:p>
    <w:p>
      <w:pPr>
        <w:pStyle w:val="BodyText"/>
      </w:pPr>
      <w:r>
        <w:t xml:space="preserve">2,840</w:t>
      </w:r>
    </w:p>
    <w:p>
      <w:pPr>
        <w:pStyle w:val="BodyText"/>
      </w:pPr>
      <w:r>
        <w:t xml:space="preserve">34.7%</w:t>
      </w:r>
    </w:p>
    <w:p>
      <w:pPr>
        <w:pStyle w:val="BodyText"/>
      </w:pPr>
      <w:r>
        <w:t xml:space="preserve">+29%</w:t>
      </w:r>
    </w:p>
    <w:p>
      <w:pPr>
        <w:pStyle w:val="BodyText"/>
      </w:pPr>
      <w:r>
        <w:t xml:space="preserve">L</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Political Campaign Sales Performance Report</dc:title>
  <dc:creator/>
  <dc:language>en</dc:language>
  <cp:keywords/>
  <dcterms:created xsi:type="dcterms:W3CDTF">2026-07-24T16:26:03Z</dcterms:created>
  <dcterms:modified xsi:type="dcterms:W3CDTF">2026-07-24T16:26:03Z</dcterms:modified>
</cp:coreProperties>
</file>

<file path=docProps/custom.xml><?xml version="1.0" encoding="utf-8"?>
<Properties xmlns="http://schemas.openxmlformats.org/officeDocument/2006/custom-properties" xmlns:vt="http://schemas.openxmlformats.org/officeDocument/2006/docPropsVTypes"/>
</file>