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Political</w:t>
      </w:r>
      <w:r>
        <w:t xml:space="preserve"> </w:t>
      </w:r>
      <w:r>
        <w:t xml:space="preserve">Engagement</w:t>
      </w:r>
      <w:r>
        <w:t xml:space="preserve"> </w:t>
      </w:r>
      <w:r>
        <w:t xml:space="preserve">Sales</w:t>
      </w:r>
      <w:r>
        <w:t xml:space="preserve"> </w:t>
      </w:r>
      <w:r>
        <w:t xml:space="preserve">Report:</w:t>
      </w:r>
      <w:r>
        <w:t xml:space="preserve"> </w:t>
      </w:r>
      <w:r>
        <w:t xml:space="preserve">Manchester,</w:t>
      </w:r>
      <w:r>
        <w:t xml:space="preserve"> </w:t>
      </w:r>
      <w:r>
        <w:t xml:space="preserve">United</w:t>
      </w:r>
      <w:r>
        <w:t xml:space="preserve"> </w:t>
      </w:r>
      <w:r>
        <w:t xml:space="preserve">Kingdom</w:t>
      </w:r>
    </w:p>
    <w:bookmarkStart w:id="30" w:name="X99a9295576f91d7abcb77737caef3165f6dc0fb"/>
    <w:p>
      <w:pPr>
        <w:pStyle w:val="Heading1"/>
      </w:pPr>
      <w:r>
        <w:t xml:space="preserve">Sales Report: Political Campaign Performance Analysis for Manchester Constituency, United Kingdom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United Kingdom Parliamentary Oversight Committee</w:t>
      </w:r>
      <w:r>
        <w:br/>
      </w:r>
      <w:r>
        <w:rPr>
          <w:bCs/>
          <w:b/>
        </w:rPr>
        <w:t xml:space="preserve">Reporting Period:</w:t>
      </w:r>
      <w:r>
        <w:t xml:space="preserve"> </w:t>
      </w:r>
      <w:r>
        <w:t xml:space="preserve">January 1 - September 30, 2023</w:t>
      </w:r>
      <w:r>
        <w:br/>
      </w:r>
      <w:r>
        <w:rPr>
          <w:bCs/>
          <w:b/>
        </w:rPr>
        <w:t xml:space="preserve">Prioritized Location:</w:t>
      </w:r>
      <w:r>
        <w:t xml:space="preserve"> </w:t>
      </w:r>
      <w:r>
        <w:t xml:space="preserve">Manchester, Greater Manchester (United Kingdom)</w:t>
      </w:r>
    </w:p>
    <w:bookmarkStart w:id="20" w:name="i.-executive-summary"/>
    <w:p>
      <w:pPr>
        <w:pStyle w:val="Heading2"/>
      </w:pPr>
      <w:r>
        <w:t xml:space="preserve">I. Executive Summary</w:t>
      </w:r>
    </w:p>
    <w:p>
      <w:pPr>
        <w:pStyle w:val="FirstParagraph"/>
      </w:pPr>
      <w:r>
        <w:t xml:space="preserve">This Sales Report details the engagement metrics and constituent conversion rates for our political candidate's campaign in Manchester. As a key metropolitan hub within the United Kingdom, Manchester represents a critical battleground constituency where voter acquisition and policy adoption metrics directly influence national electoral outcomes. The report demonstrates exceptional performance in community outreach initiatives, with a 42% increase in verified supporter commitments compared to Q3 2022. Our Politician has successfully "sold" a comprehensive urban renewal agenda through data-driven constituent engagement, positioning Manchester as a model for progressive governance across the United Kingdom.</w:t>
      </w:r>
    </w:p>
    <w:bookmarkEnd w:id="20"/>
    <w:bookmarkStart w:id="21" w:name="X90e96dd3c307259ea41f1c8b68982afc98f501f"/>
    <w:p>
      <w:pPr>
        <w:pStyle w:val="Heading2"/>
      </w:pPr>
      <w:r>
        <w:t xml:space="preserve">II. Market Analysis: Manchester Constituency Landscape</w:t>
      </w:r>
    </w:p>
    <w:p>
      <w:pPr>
        <w:pStyle w:val="FirstParagraph"/>
      </w:pPr>
      <w:r>
        <w:t xml:space="preserve">Manchester remains the economic and cultural epicenter of Northern England within the United Kingdom, with a diverse population of 5.5 million residents across Greater Manchester. This constituency exhibits unique challenges including post-industrial regeneration needs, housing affordability crises, and healthcare system pressures. Our Sales Report identifies three critical segments:</w:t>
      </w:r>
    </w:p>
    <w:p>
      <w:pPr>
        <w:numPr>
          <w:ilvl w:val="0"/>
          <w:numId w:val="1001"/>
        </w:numPr>
        <w:pStyle w:val="Compact"/>
      </w:pPr>
      <w:r>
        <w:rPr>
          <w:bCs/>
          <w:b/>
        </w:rPr>
        <w:t xml:space="preserve">Urban Professionals (32%):</w:t>
      </w:r>
      <w:r>
        <w:t xml:space="preserve"> </w:t>
      </w:r>
      <w:r>
        <w:t xml:space="preserve">Prioritize transport infrastructure and digital connectivity solutions</w:t>
      </w:r>
    </w:p>
    <w:p>
      <w:pPr>
        <w:numPr>
          <w:ilvl w:val="0"/>
          <w:numId w:val="1001"/>
        </w:numPr>
        <w:pStyle w:val="Compact"/>
      </w:pPr>
      <w:r>
        <w:rPr>
          <w:bCs/>
          <w:b/>
        </w:rPr>
        <w:t xml:space="preserve">Working-Class Families (41%):</w:t>
      </w:r>
      <w:r>
        <w:t xml:space="preserve"> </w:t>
      </w:r>
      <w:r>
        <w:t xml:space="preserve">Demand affordable housing and education investment</w:t>
      </w:r>
    </w:p>
    <w:p>
      <w:pPr>
        <w:numPr>
          <w:ilvl w:val="0"/>
          <w:numId w:val="1001"/>
        </w:numPr>
        <w:pStyle w:val="Compact"/>
      </w:pPr>
      <w:r>
        <w:rPr>
          <w:bCs/>
          <w:b/>
        </w:rPr>
        <w:t xml:space="preserve">Youth Voters (27%):</w:t>
      </w:r>
      <w:r>
        <w:t xml:space="preserve"> </w:t>
      </w:r>
      <w:r>
        <w:t xml:space="preserve">Seek climate action commitments and skills development programs</w:t>
      </w:r>
    </w:p>
    <w:p>
      <w:pPr>
        <w:pStyle w:val="FirstParagraph"/>
      </w:pPr>
      <w:r>
        <w:t xml:space="preserve">The Manchester market differs significantly from national averages, requiring hyper-localized messaging. Our Politician's sales strategy specifically tailored policy propositions to these segments, resulting in a 68% constituent satisfaction rate on issue alignment (vs. 52% industry average).</w:t>
      </w:r>
    </w:p>
    <w:bookmarkEnd w:id="21"/>
    <w:bookmarkStart w:id="22" w:name="X90d25368be5acd65a207f9308e8675ce9077428"/>
    <w:p>
      <w:pPr>
        <w:pStyle w:val="Heading2"/>
      </w:pPr>
      <w:r>
        <w:t xml:space="preserve">III. Campaign "Product" Performance Metrics</w:t>
      </w:r>
    </w:p>
    <w:p>
      <w:pPr>
        <w:pStyle w:val="FirstParagraph"/>
      </w:pPr>
      <w:r>
        <w:t xml:space="preserve">We measure political engagement using a proprietary "Voter Conversion Index" (VCI) that tracks:</w:t>
      </w:r>
      <w:r>
        <w:t xml:space="preserve"> </w:t>
      </w:r>
      <w:r>
        <w:rPr>
          <w:iCs/>
          <w:i/>
        </w:rPr>
        <w:t xml:space="preserve">awareness → interest → commitment → advocacy</w:t>
      </w:r>
      <w:r>
        <w:t xml:space="preserve">. The following metrics demonstrate our Politician's effectiveness in Manchester:</w:t>
      </w:r>
    </w:p>
    <w:p>
      <w:pPr>
        <w:pStyle w:val="BodyText"/>
      </w:pPr>
      <w:r>
        <w:t xml:space="preserve">Engagement Metric</w:t>
      </w:r>
    </w:p>
    <w:p>
      <w:pPr>
        <w:pStyle w:val="BodyText"/>
      </w:pPr>
      <w:r>
        <w:t xml:space="preserve">Q3 2022 (Baseline)</w:t>
      </w:r>
    </w:p>
    <w:p>
      <w:pPr>
        <w:pStyle w:val="BodyText"/>
      </w:pPr>
      <w:r>
        <w:t xml:space="preserve">Q3 2023 (Current)</w:t>
      </w:r>
    </w:p>
    <w:p>
      <w:pPr>
        <w:pStyle w:val="BodyText"/>
      </w:pPr>
      <w:r>
        <w:t xml:space="preserve">Change</w:t>
      </w:r>
    </w:p>
    <w:p>
      <w:pPr>
        <w:pStyle w:val="BodyText"/>
      </w:pPr>
      <w:r>
        <w:t xml:space="preserve">Voter Awareness</w:t>
      </w:r>
    </w:p>
    <w:p>
      <w:pPr>
        <w:pStyle w:val="BodyText"/>
      </w:pPr>
      <w:r>
        <w:t xml:space="preserve">61%</w:t>
      </w:r>
    </w:p>
    <w:p>
      <w:pPr>
        <w:pStyle w:val="BodyText"/>
      </w:pPr>
      <w:r>
        <w:t xml:space="preserve">89%</w:t>
      </w:r>
    </w:p>
    <w:p>
      <w:pPr>
        <w:pStyle w:val="BodyText"/>
      </w:pPr>
      <w:r>
        <w:t xml:space="preserve">+28 pts</w:t>
      </w:r>
    </w:p>
    <w:p>
      <w:pPr>
        <w:pStyle w:val="BodyText"/>
      </w:pPr>
      <w:r>
        <w:t xml:space="preserve">Policy Interest Rate</w:t>
      </w:r>
    </w:p>
    <w:p>
      <w:pPr>
        <w:pStyle w:val="BodyText"/>
      </w:pPr>
      <w:r>
        <w:t xml:space="preserve">43%</w:t>
      </w:r>
    </w:p>
    <w:p>
      <w:pPr>
        <w:pStyle w:val="BodyText"/>
      </w:pPr>
      <w:r>
        <w:t xml:space="preserve">&lt;</w:t>
      </w:r>
    </w:p>
    <w:p>
      <w:pPr>
        <w:pStyle w:val="BodyText"/>
      </w:pPr>
      <w:r>
        <w:t xml:space="preserve">76%</w:t>
      </w:r>
    </w:p>
    <w:p>
      <w:pPr>
        <w:pStyle w:val="BodyText"/>
      </w:pPr>
      <w:r>
        <w:t xml:space="preserve">+33 pts</w:t>
      </w:r>
    </w:p>
    <w:p>
      <w:pPr>
        <w:pStyle w:val="BodyText"/>
      </w:pPr>
      <w:r>
        <w:t xml:space="preserve">Verified Supporter Commitments</w:t>
      </w:r>
    </w:p>
    <w:p>
      <w:pPr>
        <w:pStyle w:val="BodyText"/>
      </w:pPr>
      <w:r>
        <w:t xml:space="preserve">2,850</w:t>
      </w:r>
    </w:p>
    <w:p>
      <w:pPr>
        <w:pStyle w:val="BodyText"/>
      </w:pPr>
      <w:r>
        <w:t xml:space="preserve">4,045</w:t>
      </w:r>
    </w:p>
    <w:p>
      <w:pPr>
        <w:pStyle w:val="BodyText"/>
      </w:pPr>
      <w:r>
        <w:t xml:space="preserve">+42.7%</w:t>
      </w:r>
    </w:p>
    <w:p>
      <w:pPr>
        <w:pStyle w:val="BodyText"/>
      </w:pPr>
      <w:r>
        <w:t xml:space="preserve">Social Media Engagement (Manchester)</w:t>
      </w:r>
    </w:p>
    <w:p>
      <w:pPr>
        <w:pStyle w:val="BodyText"/>
      </w:pPr>
      <w:r>
        <w:t xml:space="preserve">18,300/week</w:t>
      </w:r>
    </w:p>
    <w:p>
      <w:pPr>
        <w:pStyle w:val="BodyText"/>
      </w:pPr>
      <w:r>
        <w:t xml:space="preserve">47,600/week</w:t>
      </w:r>
    </w:p>
    <w:p>
      <w:pPr>
        <w:pStyle w:val="BodyText"/>
      </w:pPr>
      <w:r>
        <w:t xml:space="preserve">+160%</w:t>
      </w:r>
    </w:p>
    <w:p>
      <w:pPr>
        <w:pStyle w:val="BodyText"/>
      </w:pPr>
      <w:r>
        <w:t xml:space="preserve">Notably, Manchester achieved the highest per-capita engagement rate in the United Kingdom political landscape. The Politician's "Manchester Renewal Plan" (our flagship policy package) generated 92% favorable sentiment in focus groups compared to national average of 67% for similar initiatives.</w:t>
      </w:r>
    </w:p>
    <w:bookmarkEnd w:id="22"/>
    <w:bookmarkStart w:id="26" w:name="Xc4372262ffac045d4aac697c082c4ea0832020d"/>
    <w:p>
      <w:pPr>
        <w:pStyle w:val="Heading2"/>
      </w:pPr>
      <w:r>
        <w:t xml:space="preserve">IV. Sales Strategy: Hyper-Local Engagement Framework</w:t>
      </w:r>
    </w:p>
    <w:p>
      <w:pPr>
        <w:pStyle w:val="FirstParagraph"/>
      </w:pPr>
      <w:r>
        <w:t xml:space="preserve">Our Manchester campaign deployed a three-pillar sales approach designed specifically for UK metropolitan dynamics:</w:t>
      </w:r>
    </w:p>
    <w:bookmarkStart w:id="23" w:name="a.-community-discovery-visits"/>
    <w:p>
      <w:pPr>
        <w:pStyle w:val="Heading3"/>
      </w:pPr>
      <w:r>
        <w:t xml:space="preserve">A. Community "Discovery" Visits</w:t>
      </w:r>
    </w:p>
    <w:p>
      <w:pPr>
        <w:pStyle w:val="FirstParagraph"/>
      </w:pPr>
      <w:r>
        <w:t xml:space="preserve">The Politician conducted 147 in-person constituency meetings across all Manchester wards (vs. 58 in Q3 2022). These were not traditional town halls but targeted "needs assessment" sessions where the Politician actively listened to local concerns before presenting tailored solutions. This approach generated a 73% lead-to-advocate conversion rate – significantly higher than the UK political average of 48%.</w:t>
      </w:r>
    </w:p>
    <w:bookmarkEnd w:id="23"/>
    <w:bookmarkStart w:id="24" w:name="b.-digital-product-demonstrations"/>
    <w:p>
      <w:pPr>
        <w:pStyle w:val="Heading3"/>
      </w:pPr>
      <w:r>
        <w:t xml:space="preserve">B. Digital "Product" Demonstrations</w:t>
      </w:r>
    </w:p>
    <w:p>
      <w:pPr>
        <w:pStyle w:val="FirstParagraph"/>
      </w:pPr>
      <w:r>
        <w:t xml:space="preserve">Launched Manchester-specific policy microsites for each key issue area (e.g., "Manchester Housing Hub", "Green Jobs Dashboard"). These platforms allowed constituents to simulate policy impacts using local data. This digital engagement drove a 58% increase in sign-ups for campaign volunteer programs within the United Kingdom's most digitally engaged metro area.</w:t>
      </w:r>
    </w:p>
    <w:bookmarkEnd w:id="24"/>
    <w:bookmarkStart w:id="25" w:name="c.-partner-ecosystem-development"/>
    <w:p>
      <w:pPr>
        <w:pStyle w:val="Heading3"/>
      </w:pPr>
      <w:r>
        <w:t xml:space="preserve">C. Partner Ecosystem Development</w:t>
      </w:r>
    </w:p>
    <w:p>
      <w:pPr>
        <w:pStyle w:val="FirstParagraph"/>
      </w:pPr>
      <w:r>
        <w:t xml:space="preserve">Forged strategic alliances with Manchester City Council, NHS Greater Manchester, and local business networks (including the Manchester Chamber of Commerce). These partnerships enabled "co-branded" initiatives like the £200M Innovation District project – a key sales proposition that secured cross-party support. This ecosystem approach accounted for 37% of all new commitments in Q3 2023.</w:t>
      </w:r>
    </w:p>
    <w:bookmarkEnd w:id="25"/>
    <w:bookmarkEnd w:id="26"/>
    <w:bookmarkStart w:id="27" w:name="v.-competitive-landscape-differentiation"/>
    <w:p>
      <w:pPr>
        <w:pStyle w:val="Heading2"/>
      </w:pPr>
      <w:r>
        <w:t xml:space="preserve">V. Competitive Landscape &amp; Differentiation</w:t>
      </w:r>
    </w:p>
    <w:p>
      <w:pPr>
        <w:pStyle w:val="FirstParagraph"/>
      </w:pPr>
      <w:r>
        <w:t xml:space="preserve">In Manchester's competitive political market, our Politician outperformed rivals on three critical sales dimensions:</w:t>
      </w:r>
    </w:p>
    <w:p>
      <w:pPr>
        <w:numPr>
          <w:ilvl w:val="0"/>
          <w:numId w:val="1002"/>
        </w:numPr>
        <w:pStyle w:val="Compact"/>
      </w:pPr>
      <w:r>
        <w:rPr>
          <w:bCs/>
          <w:b/>
        </w:rPr>
        <w:t xml:space="preserve">Local Relevance:</w:t>
      </w:r>
      <w:r>
        <w:t xml:space="preserve"> </w:t>
      </w:r>
      <w:r>
        <w:t xml:space="preserve">All policy proposals included Manchester-specific implementation timelines (e.g., "30% new housing by 2026 in Salford")</w:t>
      </w:r>
    </w:p>
    <w:p>
      <w:pPr>
        <w:numPr>
          <w:ilvl w:val="0"/>
          <w:numId w:val="1002"/>
        </w:numPr>
        <w:pStyle w:val="Compact"/>
      </w:pPr>
      <w:r>
        <w:rPr>
          <w:bCs/>
          <w:b/>
        </w:rPr>
        <w:t xml:space="preserve">Trust Metrics:</w:t>
      </w:r>
      <w:r>
        <w:t xml:space="preserve"> </w:t>
      </w:r>
      <w:r>
        <w:t xml:space="preserve">84% of Manchester constituents perceived our Politician as "most trustworthy" on urban issues (vs. 59% for competitors)</w:t>
      </w:r>
    </w:p>
    <w:p>
      <w:pPr>
        <w:numPr>
          <w:ilvl w:val="0"/>
          <w:numId w:val="1002"/>
        </w:numPr>
        <w:pStyle w:val="Compact"/>
      </w:pPr>
      <w:r>
        <w:rPr>
          <w:bCs/>
          <w:b/>
        </w:rPr>
        <w:t xml:space="preserve">Response Velocity:</w:t>
      </w:r>
      <w:r>
        <w:t xml:space="preserve"> </w:t>
      </w:r>
      <w:r>
        <w:t xml:space="preserve">Implemented a Manchester Constituent Response Unit achieving average resolution time of 24 hours for local queries</w:t>
      </w:r>
    </w:p>
    <w:p>
      <w:pPr>
        <w:pStyle w:val="FirstParagraph"/>
      </w:pPr>
      <w:r>
        <w:t xml:space="preserve">This differentiation is particularly significant in the United Kingdom context where national candidates often fail to demonstrate regional specificity.</w:t>
      </w:r>
    </w:p>
    <w:bookmarkEnd w:id="27"/>
    <w:bookmarkStart w:id="28" w:name="vi.-challenges-strategic-imperatives"/>
    <w:p>
      <w:pPr>
        <w:pStyle w:val="Heading2"/>
      </w:pPr>
      <w:r>
        <w:t xml:space="preserve">VI. Challenges &amp; Strategic Imperatives</w:t>
      </w:r>
    </w:p>
    <w:p>
      <w:pPr>
        <w:pStyle w:val="FirstParagraph"/>
      </w:pPr>
      <w:r>
        <w:t xml:space="preserve">Despite strong performance, two challenges require immediate attention:</w:t>
      </w:r>
    </w:p>
    <w:p>
      <w:pPr>
        <w:numPr>
          <w:ilvl w:val="0"/>
          <w:numId w:val="1003"/>
        </w:numPr>
        <w:pStyle w:val="Compact"/>
      </w:pPr>
      <w:r>
        <w:rPr>
          <w:bCs/>
          <w:b/>
        </w:rPr>
        <w:t xml:space="preserve">Geographic Coverage Gaps:</w:t>
      </w:r>
      <w:r>
        <w:t xml:space="preserve"> </w:t>
      </w:r>
      <w:r>
        <w:t xml:space="preserve">Lower engagement rates in Manchester North and East (45% vs. 81% in South Manchester)</w:t>
      </w:r>
    </w:p>
    <w:p>
      <w:pPr>
        <w:numPr>
          <w:ilvl w:val="0"/>
          <w:numId w:val="1003"/>
        </w:numPr>
        <w:pStyle w:val="Compact"/>
      </w:pPr>
      <w:r>
        <w:rPr>
          <w:bCs/>
          <w:b/>
        </w:rPr>
        <w:t xml:space="preserve">Economic Anxiety:</w:t>
      </w:r>
      <w:r>
        <w:t xml:space="preserve"> </w:t>
      </w:r>
      <w:r>
        <w:t xml:space="preserve">Cost-of-living concerns reduced policy interest among 32% of target segment</w:t>
      </w:r>
    </w:p>
    <w:p>
      <w:pPr>
        <w:pStyle w:val="FirstParagraph"/>
      </w:pPr>
      <w:r>
        <w:t xml:space="preserve">Our immediate sales strategy focuses on: (1) Deploying mobile engagement units to underserved wards, (2) Launching "Cost of Living Action Packs" with localized financial relief proposals, and (3) Expanding the Partner Ecosystem to include Manchester-based trade unions.</w:t>
      </w:r>
    </w:p>
    <w:bookmarkEnd w:id="28"/>
    <w:bookmarkStart w:id="29" w:name="vii.-conclusion-future-outlook"/>
    <w:p>
      <w:pPr>
        <w:pStyle w:val="Heading2"/>
      </w:pPr>
      <w:r>
        <w:t xml:space="preserve">VII. Conclusion &amp; Future Outlook</w:t>
      </w:r>
    </w:p>
    <w:p>
      <w:pPr>
        <w:pStyle w:val="FirstParagraph"/>
      </w:pPr>
      <w:r>
        <w:t xml:space="preserve">This Sales Report confirms Manchester as a high-performing constituency where our Politician has successfully transformed political engagement into measurable voter conversion. The campaign's 42% growth in verified commitments demonstrates that hyper-localized policy "sales" outperform generic national messaging across the United Kingdom political landscape.</w:t>
      </w:r>
    </w:p>
    <w:p>
      <w:pPr>
        <w:pStyle w:val="BodyText"/>
      </w:pPr>
      <w:r>
        <w:t xml:space="preserve">As Manchester continues to emerge as a model city for urban governance within the United Kingdom, our Politician's campaign represents a replicable blueprint for effective constituent engagement. The strategy of treating political outreach as an iterative sales process – with tailored solutions, rapid response mechanisms, and community co-creation – has yielded results exceeding all UK benchmarks.</w:t>
      </w:r>
    </w:p>
    <w:p>
      <w:pPr>
        <w:pStyle w:val="BodyText"/>
      </w:pPr>
      <w:r>
        <w:t xml:space="preserve">Recommendation: Scale Manchester's engagement framework to other key constituencies across the United Kingdom. Initial pilot in Birmingham shows 35% adoption rate of the model's core elements. The success here proves that when a Politician prioritizes local market needs over national narratives, both voter acquisition and policy implementation achieve superior outcomes.</w:t>
      </w:r>
    </w:p>
    <w:p>
      <w:pPr>
        <w:pStyle w:val="BodyText"/>
      </w:pPr>
      <w:r>
        <w:rPr>
          <w:iCs/>
          <w:i/>
        </w:rPr>
        <w:t xml:space="preserve">Prepared by: UK Political Campaign Analytics Division</w:t>
      </w:r>
      <w:r>
        <w:br/>
      </w:r>
      <w:r>
        <w:rPr>
          <w:iCs/>
          <w:i/>
        </w:rPr>
        <w:t xml:space="preserve">Verification Code: POL-UK-MAN-2023Q3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Engagement Sales Report: Manchester, United Kingdom</dc:title>
  <dc:creator/>
  <dc:language>en</dc:language>
  <cp:keywords/>
  <dcterms:created xsi:type="dcterms:W3CDTF">2026-07-24T14:41:31Z</dcterms:created>
  <dcterms:modified xsi:type="dcterms:W3CDTF">2026-07-24T14:41:31Z</dcterms:modified>
</cp:coreProperties>
</file>

<file path=docProps/custom.xml><?xml version="1.0" encoding="utf-8"?>
<Properties xmlns="http://schemas.openxmlformats.org/officeDocument/2006/custom-properties" xmlns:vt="http://schemas.openxmlformats.org/officeDocument/2006/docPropsVTypes"/>
</file>