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Los</w:t>
      </w:r>
      <w:r>
        <w:t xml:space="preserve"> </w:t>
      </w:r>
      <w:r>
        <w:t xml:space="preserve">Angeles</w:t>
      </w:r>
      <w:r>
        <w:t xml:space="preserve"> </w:t>
      </w:r>
      <w:r>
        <w:t xml:space="preserve">Political</w:t>
      </w:r>
      <w:r>
        <w:t xml:space="preserve"> </w:t>
      </w:r>
      <w:r>
        <w:t xml:space="preserve">Campaign</w:t>
      </w:r>
      <w:r>
        <w:t xml:space="preserve"> </w:t>
      </w:r>
      <w:r>
        <w:t xml:space="preserve">Sales</w:t>
      </w:r>
      <w:r>
        <w:t xml:space="preserve"> </w:t>
      </w:r>
      <w:r>
        <w:t xml:space="preserve">Report</w:t>
      </w:r>
    </w:p>
    <w:bookmarkStart w:id="28" w:name="X4c5d7a7a709c7dac24a1d17d7b8b0d0b1a18090"/>
    <w:p>
      <w:pPr>
        <w:pStyle w:val="Heading1"/>
      </w:pPr>
      <w:r>
        <w:t xml:space="preserve">Official Sales Report: Political Campaign Performance Analysis for United States Los Angeles (2023-2024)</w:t>
      </w:r>
    </w:p>
    <w:bookmarkStart w:id="20" w:name="executive-summary"/>
    <w:p>
      <w:pPr>
        <w:pStyle w:val="Heading2"/>
      </w:pPr>
      <w:r>
        <w:t xml:space="preserve">Executive Summary</w:t>
      </w:r>
    </w:p>
    <w:p>
      <w:pPr>
        <w:pStyle w:val="FirstParagraph"/>
      </w:pPr>
      <w:r>
        <w:t xml:space="preserve">This comprehensive Sales Report details the performance of political campaign services provided to elected officials and aspiring candidates within the United States Los Angeles metropolitan area. The analysis covers strategic consulting, voter engagement platforms, and digital advertising solutions delivered to 37 prominent Politician clients across municipal, county, and state-level races during Q1-Q4 2023. Our firm's data-driven approach has generated a remarkable 187% ROI for Los Angeles-based political campaigns compared to industry benchmarks. This report confirms that strategic sales alignment with local political dynamics is paramount to electoral success in the United States' most diverse urban market.</w:t>
      </w:r>
    </w:p>
    <w:bookmarkEnd w:id="20"/>
    <w:bookmarkStart w:id="21" w:name="Xab20211c562ae89f921a01e24b01a148d08dc93"/>
    <w:p>
      <w:pPr>
        <w:pStyle w:val="Heading2"/>
      </w:pPr>
      <w:r>
        <w:t xml:space="preserve">Market Context: Why Los Angeles Demands Specialized Political Sales Strategy</w:t>
      </w:r>
    </w:p>
    <w:p>
      <w:pPr>
        <w:pStyle w:val="FirstParagraph"/>
      </w:pPr>
      <w:r>
        <w:t xml:space="preserve">The United States Los Angeles political landscape presents unique challenges requiring tailored sales solutions. With 4 million registered voters across 10 distinct congressional districts and a median age of 34.7, our Sales Report identifies that traditional campaign methods fail in this market. The top three factors driving sales success for Politician clients include: (1) hyper-localized messaging for ethnically diverse neighborhoods, (2) digital engagement through platforms preferred by Gen Z voters (TikTok, Instagram), and (3) data analytics calibrated to Los Angeles' 47% non-white voter population. Our firm's Los Angeles-specific sales model increased client campaign efficiency by 63% compared to generic political consulting approaches.</w:t>
      </w:r>
    </w:p>
    <w:bookmarkEnd w:id="21"/>
    <w:bookmarkStart w:id="23" w:name="q4-2023-sales-performance-metrics"/>
    <w:p>
      <w:pPr>
        <w:pStyle w:val="Heading2"/>
      </w:pPr>
      <w:r>
        <w:t xml:space="preserve">Q4 2023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Client Count (LA)</w:t>
            </w:r>
          </w:p>
        </w:tc>
        <w:tc>
          <w:tcPr/>
          <w:p>
            <w:pPr>
              <w:pStyle w:val="Compact"/>
              <w:jc w:val="left"/>
            </w:pPr>
            <w:r>
              <w:t xml:space="preserve">Avg. Revenue per Politician</w:t>
            </w:r>
          </w:p>
        </w:tc>
        <w:tc>
          <w:tcPr/>
          <w:p>
            <w:pPr>
              <w:pStyle w:val="Compact"/>
              <w:jc w:val="left"/>
            </w:pPr>
            <w:r>
              <w:t xml:space="preserve">ROI Achievement</w:t>
            </w:r>
          </w:p>
        </w:tc>
      </w:tr>
      <w:tr>
        <w:tc>
          <w:tcPr/>
          <w:p>
            <w:pPr>
              <w:pStyle w:val="Compact"/>
              <w:jc w:val="left"/>
            </w:pPr>
            <w:r>
              <w:t xml:space="preserve">Digital Voter Mobilization Suite</w:t>
            </w:r>
          </w:p>
        </w:tc>
        <w:tc>
          <w:tcPr/>
          <w:p>
            <w:pPr>
              <w:pStyle w:val="Compact"/>
              <w:jc w:val="left"/>
            </w:pPr>
            <w:r>
              <w:t xml:space="preserve">22</w:t>
            </w:r>
          </w:p>
        </w:tc>
        <w:tc>
          <w:tcPr/>
          <w:p>
            <w:pPr>
              <w:pStyle w:val="Compact"/>
              <w:jc w:val="left"/>
            </w:pPr>
            <w:r>
              <w:t xml:space="preserve">$148,500</w:t>
            </w:r>
          </w:p>
        </w:tc>
        <w:tc>
          <w:tcPr/>
          <w:p>
            <w:pPr>
              <w:pStyle w:val="Compact"/>
              <w:jc w:val="left"/>
            </w:pPr>
            <w:r>
              <w:t xml:space="preserve">217%</w:t>
            </w:r>
          </w:p>
        </w:tc>
      </w:tr>
      <w:tr>
        <w:tc>
          <w:tcPr/>
          <w:p>
            <w:pPr>
              <w:pStyle w:val="Compact"/>
              <w:jc w:val="left"/>
            </w:pPr>
            <w:r>
              <w:t xml:space="preserve">Civic Engagement Workshops</w:t>
            </w:r>
          </w:p>
        </w:tc>
        <w:tc>
          <w:tcPr/>
          <w:p>
            <w:pPr>
              <w:pStyle w:val="Compact"/>
              <w:jc w:val="left"/>
            </w:pPr>
            <w:r>
              <w:t xml:space="preserve">15</w:t>
            </w:r>
          </w:p>
        </w:tc>
        <w:tc>
          <w:tcPr/>
          <w:p>
            <w:pPr>
              <w:pStyle w:val="Compact"/>
              <w:jc w:val="left"/>
            </w:pPr>
            <w:r>
              <w:t xml:space="preserve">$89,300</w:t>
            </w:r>
          </w:p>
        </w:tc>
        <w:tc>
          <w:tcPr/>
          <w:p>
            <w:pPr>
              <w:pStyle w:val="Compact"/>
              <w:jc w:val="left"/>
            </w:pPr>
            <w:r>
              <w:t xml:space="preserve">142%</w:t>
            </w:r>
          </w:p>
        </w:tc>
      </w:tr>
      <w:tr>
        <w:tc>
          <w:tcPr/>
          <w:p>
            <w:pPr>
              <w:pStyle w:val="Compact"/>
              <w:jc w:val="left"/>
            </w:pPr>
            <w:r>
              <w:t xml:space="preserve">Polling &amp; Data Analytics Package</w:t>
            </w:r>
          </w:p>
        </w:tc>
        <w:tc>
          <w:tcPr/>
          <w:p>
            <w:pPr>
              <w:pStyle w:val="Compact"/>
              <w:jc w:val="left"/>
            </w:pPr>
            <w:r>
              <w:t xml:space="preserve">29</w:t>
            </w:r>
          </w:p>
        </w:tc>
        <w:tc>
          <w:tcPr/>
          <w:p>
            <w:pPr>
              <w:pStyle w:val="Compact"/>
              <w:jc w:val="left"/>
            </w:pPr>
            <w:r>
              <w:t xml:space="preserve">$67,800</w:t>
            </w:r>
          </w:p>
        </w:tc>
        <w:tc>
          <w:tcPr/>
          <w:p>
            <w:pPr>
              <w:pStyle w:val="Compact"/>
              <w:jc w:val="left"/>
            </w:pPr>
            <w:r>
              <w:t xml:space="preserve">195%</w:t>
            </w:r>
          </w:p>
        </w:tc>
      </w:tr>
      <w:tr>
        <w:tc>
          <w:tcPr/>
          <w:p>
            <w:pPr>
              <w:pStyle w:val="Compact"/>
              <w:jc w:val="left"/>
            </w:pPr>
            <w:r>
              <w:t xml:space="preserve">Total</w:t>
            </w:r>
          </w:p>
        </w:tc>
        <w:tc>
          <w:tcPr/>
          <w:p>
            <w:pPr>
              <w:pStyle w:val="Compact"/>
              <w:jc w:val="left"/>
            </w:pPr>
            <w:r>
              <w:t xml:space="preserve">66 LA Politicians</w:t>
            </w:r>
          </w:p>
        </w:tc>
        <w:tc>
          <w:tcPr/>
          <w:p>
            <w:pPr>
              <w:pStyle w:val="Compact"/>
              <w:jc w:val="left"/>
            </w:pPr>
            <w:r>
              <w:t xml:space="preserve">$123,200 Avg.</w:t>
            </w:r>
          </w:p>
        </w:tc>
        <w:tc>
          <w:tcPr/>
          <w:p>
            <w:pPr>
              <w:pStyle w:val="Compact"/>
              <w:jc w:val="left"/>
            </w:pPr>
            <w:r>
              <w:rPr>
                <w:u w:val="single"/>
              </w:rPr>
              <w:t xml:space="preserve">187% Avg. ROI</w:t>
            </w:r>
          </w:p>
        </w:tc>
      </w:tr>
    </w:tbl>
    <w:bookmarkStart w:id="22" w:name="Xc08050126be21bef50d529a28e2571bba18fae3"/>
    <w:p>
      <w:pPr>
        <w:pStyle w:val="Heading3"/>
      </w:pPr>
      <w:r>
        <w:t xml:space="preserve">Key Sales Insights Driving Los Angeles Political Campaigns</w:t>
      </w:r>
    </w:p>
    <w:p>
      <w:pPr>
        <w:pStyle w:val="FirstParagraph"/>
      </w:pPr>
      <w:r>
        <w:rPr>
          <w:bCs/>
          <w:b/>
        </w:rPr>
        <w:t xml:space="preserve">Localization as Competitive Edge:</w:t>
      </w:r>
      <w:r>
        <w:t xml:space="preserve"> </w:t>
      </w:r>
      <w:r>
        <w:t xml:space="preserve">Our Sales Report demonstrates that Politicians who adopted LA-specific campaign elements saw 2.1x higher voter turnout than generic campaigns. For example, Mayor Karen Bass's re-election campaign integrated Spanish-language micro-targeting in South Central LA and Koreatown digital ads – a solution directly requested by her sales team during our Q3 consultation.</w:t>
      </w:r>
    </w:p>
    <w:p>
      <w:pPr>
        <w:pStyle w:val="BodyText"/>
      </w:pPr>
      <w:r>
        <w:rPr>
          <w:bCs/>
          <w:b/>
        </w:rPr>
        <w:t xml:space="preserve">Technology Integration:</w:t>
      </w:r>
      <w:r>
        <w:t xml:space="preserve"> </w:t>
      </w:r>
      <w:r>
        <w:t xml:space="preserve">The top 3 performing Politician clients invested in our "LA Voter Pulse" AI platform, which analyzes real-time social media sentiment across Los Angeles neighborhoods. This tool helped Councilmember Marqueece Williams adjust policy messaging during the Mayoral primary, increasing her support among Latino voters by 28%.</w:t>
      </w:r>
    </w:p>
    <w:p>
      <w:pPr>
        <w:pStyle w:val="BodyText"/>
      </w:pPr>
      <w:r>
        <w:rPr>
          <w:bCs/>
          <w:b/>
        </w:rPr>
        <w:t xml:space="preserve">Compliance-First Sales Approach:</w:t>
      </w:r>
      <w:r>
        <w:t xml:space="preserve"> </w:t>
      </w:r>
      <w:r>
        <w:t xml:space="preserve">In the United States Los Angeles market, strict campaign finance regulations (LA Municipal Code § 17.03) require transparent sales processes. Our firm implemented mandatory compliance training for all Politician clients, eliminating regulatory penalties that cost competitors an average of $42,000 per campaign in 2023.</w:t>
      </w:r>
    </w:p>
    <w:bookmarkEnd w:id="22"/>
    <w:bookmarkEnd w:id="23"/>
    <w:bookmarkStart w:id="24" w:name="X26ed3273c8b46ecdc0ea6a52893375791d81346"/>
    <w:p>
      <w:pPr>
        <w:pStyle w:val="Heading2"/>
      </w:pPr>
      <w:r>
        <w:t xml:space="preserve">Case Study: Successful Politician Campaign (City Council District 15)</w:t>
      </w:r>
    </w:p>
    <w:p>
      <w:pPr>
        <w:pStyle w:val="FirstParagraph"/>
      </w:pPr>
      <w:r>
        <w:t xml:space="preserve">Client: Councilmember Elena Rodriguez (Democratic)</w:t>
      </w:r>
      <w:r>
        <w:t xml:space="preserve"> </w:t>
      </w:r>
      <w:r>
        <w:t xml:space="preserve">Challenge: Defending against a well-funded opponent targeting her progressive policies</w:t>
      </w:r>
      <w:r>
        <w:t xml:space="preserve"> </w:t>
      </w:r>
      <w:r>
        <w:t xml:space="preserve">Solution Deployed:</w:t>
      </w:r>
      <w:r>
        <w:t xml:space="preserve"> </w:t>
      </w:r>
      <w:r>
        <w:t xml:space="preserve">- "Neighborhood Storytelling" digital ads featuring real residents from Boyle Heights and East Los Angeles</w:t>
      </w:r>
      <w:r>
        <w:t xml:space="preserve"> </w:t>
      </w:r>
      <w:r>
        <w:t xml:space="preserve">- Real-time sentiment tracking during community forums</w:t>
      </w:r>
      <w:r>
        <w:t xml:space="preserve"> </w:t>
      </w:r>
      <w:r>
        <w:t xml:space="preserve">- Partnership with LA County Health Department for targeted health policy messaging</w:t>
      </w:r>
    </w:p>
    <w:p>
      <w:pPr>
        <w:pStyle w:val="BodyText"/>
      </w:pPr>
      <w:r>
        <w:t xml:space="preserve">Results:</w:t>
      </w:r>
      <w:r>
        <w:t xml:space="preserve"> </w:t>
      </w:r>
      <w:r>
        <w:t xml:space="preserve">• 15.8% higher voter turnout in target districts vs. 2021 election</w:t>
      </w:r>
      <w:r>
        <w:t xml:space="preserve"> </w:t>
      </w:r>
      <w:r>
        <w:t xml:space="preserve">• $0 campaign finance violations (vs. $34K average for competitors)</w:t>
      </w:r>
      <w:r>
        <w:t xml:space="preserve"> </w:t>
      </w:r>
      <w:r>
        <w:t xml:space="preserve">• Final vote margin: 63.7% to 36.3%</w:t>
      </w:r>
      <w:r>
        <w:t xml:space="preserve"> </w:t>
      </w:r>
      <w:r>
        <w:t xml:space="preserve">Sales Impact: This Politician's successful campaign generated a $218,500 revenue stream for our firm through retention and expansion of services to her PAC.</w:t>
      </w:r>
    </w:p>
    <w:bookmarkEnd w:id="24"/>
    <w:bookmarkStart w:id="25" w:name="challenges-strategic-adjustments"/>
    <w:p>
      <w:pPr>
        <w:pStyle w:val="Heading2"/>
      </w:pPr>
      <w:r>
        <w:t xml:space="preserve">Challenges &amp; Strategic Adjustments</w:t>
      </w:r>
    </w:p>
    <w:p>
      <w:pPr>
        <w:pStyle w:val="FirstParagraph"/>
      </w:pPr>
      <w:r>
        <w:t xml:space="preserve">Our Sales Report identifies two critical challenges unique to United States Los Angeles:</w:t>
      </w:r>
      <w:r>
        <w:t xml:space="preserve"> </w:t>
      </w:r>
      <w:r>
        <w:t xml:space="preserve">1.</w:t>
      </w:r>
      <w:r>
        <w:t xml:space="preserve"> </w:t>
      </w:r>
      <w:r>
        <w:rPr>
          <w:iCs/>
          <w:i/>
        </w:rPr>
        <w:t xml:space="preserve">Resource Fragmentation:</w:t>
      </w:r>
      <w:r>
        <w:t xml:space="preserve"> </w:t>
      </w:r>
      <w:r>
        <w:t xml:space="preserve">With 136 active city council campaigns in LA, Politicians often spread budgets too thin. Our sales team now implements "Campaign Priority Mapping" to consolidate spending on high-impact channels (e.g., avoiding redundant billboard ads in overlapping districts).</w:t>
      </w:r>
      <w:r>
        <w:t xml:space="preserve"> </w:t>
      </w:r>
      <w:r>
        <w:t xml:space="preserve">2.</w:t>
      </w:r>
      <w:r>
        <w:t xml:space="preserve"> </w:t>
      </w:r>
      <w:r>
        <w:rPr>
          <w:iCs/>
          <w:i/>
        </w:rPr>
        <w:t xml:space="preserve">Cultural Misalignment:</w:t>
      </w:r>
      <w:r>
        <w:t xml:space="preserve"> </w:t>
      </w:r>
      <w:r>
        <w:t xml:space="preserve">Initial campaigns failed when Politicians used national messaging templates instead of LA-specific narratives. We've since developed the "LA Authenticity Index" sales tool that rates candidate messaging against local cultural touchpoints (e.g., referencing Dodgers games in campaign ads during World Series season).</w:t>
      </w:r>
    </w:p>
    <w:bookmarkEnd w:id="25"/>
    <w:bookmarkStart w:id="26" w:name="sales-forecast-recommendations"/>
    <w:p>
      <w:pPr>
        <w:pStyle w:val="Heading2"/>
      </w:pPr>
      <w:r>
        <w:t xml:space="preserve">2024 Sales Forecast &amp; Recommendations</w:t>
      </w:r>
    </w:p>
    <w:p>
      <w:pPr>
        <w:pStyle w:val="FirstParagraph"/>
      </w:pPr>
      <w:r>
        <w:t xml:space="preserve">Based on current market data, our firm projects a 34% increase in political sales demand for Los Angeles Politicians due to:</w:t>
      </w:r>
      <w:r>
        <w:t xml:space="preserve"> </w:t>
      </w:r>
      <w:r>
        <w:t xml:space="preserve">• Upcoming June 2024 City Council elections</w:t>
      </w:r>
      <w:r>
        <w:t xml:space="preserve"> </w:t>
      </w:r>
      <w:r>
        <w:t xml:space="preserve">• New state-mandated campaign finance transparency laws</w:t>
      </w:r>
      <w:r>
        <w:t xml:space="preserve"> </w:t>
      </w:r>
      <w:r>
        <w:t xml:space="preserve">• Rising voter engagement from newly registered voters (185,000 since January 2023)</w:t>
      </w:r>
    </w:p>
    <w:p>
      <w:pPr>
        <w:pStyle w:val="BodyText"/>
      </w:pPr>
      <w:r>
        <w:t xml:space="preserve">Strategic recommendations for sales teams:</w:t>
      </w:r>
    </w:p>
    <w:p>
      <w:pPr>
        <w:numPr>
          <w:ilvl w:val="0"/>
          <w:numId w:val="1001"/>
        </w:numPr>
        <w:pStyle w:val="Compact"/>
      </w:pPr>
      <w:r>
        <w:t xml:space="preserve">Allocate 65% of resources to digital solutions – LA's youth voter base (ages 18-24) consumes 97% of campaign content online</w:t>
      </w:r>
    </w:p>
    <w:p>
      <w:pPr>
        <w:numPr>
          <w:ilvl w:val="0"/>
          <w:numId w:val="1001"/>
        </w:numPr>
        <w:pStyle w:val="Compact"/>
      </w:pPr>
      <w:r>
        <w:t xml:space="preserve">Prioritize partnerships with LA-based community organizations (e.g., LULAC, Asian American Federation) for authentic outreach</w:t>
      </w:r>
    </w:p>
    <w:p>
      <w:pPr>
        <w:numPr>
          <w:ilvl w:val="0"/>
          <w:numId w:val="1001"/>
        </w:numPr>
        <w:pStyle w:val="Compact"/>
      </w:pPr>
      <w:r>
        <w:t xml:space="preserve">Develop "Crisis Response Kits" for Politicians facing negative local media coverage – a service 3x requested in Q4 2023</w:t>
      </w:r>
    </w:p>
    <w:bookmarkEnd w:id="26"/>
    <w:bookmarkStart w:id="27" w:name="X101b1936d85c7180250c382c7769dbddb6e35ba"/>
    <w:p>
      <w:pPr>
        <w:pStyle w:val="Heading2"/>
      </w:pPr>
      <w:r>
        <w:t xml:space="preserve">Conclusion: The Sales Imperative for Los Angeles Politicians</w:t>
      </w:r>
    </w:p>
    <w:p>
      <w:pPr>
        <w:pStyle w:val="FirstParagraph"/>
      </w:pPr>
      <w:r>
        <w:t xml:space="preserve">This Sales Report unequivocally demonstrates that political success in the United States Los Angeles market requires specialized sales strategies beyond conventional campaign management. Our data shows that Politician clients who engage with tailored, LA-focused sales solutions achieve 73% higher electoral success rates than those using generic political services. As the most populous city in California with unparalleled demographic complexity, Los Angeles demands a nuanced approach where every Sales Report becomes a roadmap for voter connection.</w:t>
      </w:r>
    </w:p>
    <w:p>
      <w:pPr>
        <w:pStyle w:val="BodyText"/>
      </w:pPr>
      <w:r>
        <w:t xml:space="preserve">For our firm, this means doubling down on hyper-local expertise: We're launching "LA Political Accelerator" – an industry-first sales program featuring neighborhood-level data dashboards and cultural competency training for all Politician clients. The future of political sales in United States Los Angeles isn't just about winning votes; it's about building authentic community partnerships through data-driven, culturally intelligent solutions.</w:t>
      </w:r>
    </w:p>
    <w:p>
      <w:pPr>
        <w:pStyle w:val="BodyText"/>
      </w:pPr>
      <w:r>
        <w:rPr>
          <w:bCs/>
          <w:b/>
        </w:rPr>
        <w:t xml:space="preserve">Prepared by: LA Political Sales Intelligence Division</w:t>
      </w:r>
      <w:r>
        <w:br/>
      </w:r>
      <w:r>
        <w:t xml:space="preserve">Certified Political Analytics Firm • Serving United States Los Angeles Since 2010</w:t>
      </w:r>
      <w:r>
        <w:br/>
      </w:r>
      <w:r>
        <w:t xml:space="preserve">Data Validated: Los Angeles County Registrar-Recorder/County Clerk &amp; Federal Election Commission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Political Campaign Sales Report</dc:title>
  <dc:creator/>
  <dc:language>en</dc:language>
  <cp:keywords/>
  <dcterms:created xsi:type="dcterms:W3CDTF">2026-07-25T04:16:21Z</dcterms:created>
  <dcterms:modified xsi:type="dcterms:W3CDTF">2026-07-25T04:16:21Z</dcterms:modified>
</cp:coreProperties>
</file>

<file path=docProps/custom.xml><?xml version="1.0" encoding="utf-8"?>
<Properties xmlns="http://schemas.openxmlformats.org/officeDocument/2006/custom-properties" xmlns:vt="http://schemas.openxmlformats.org/officeDocument/2006/docPropsVTypes"/>
</file>