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Strategy</w:t>
      </w:r>
      <w:r>
        <w:t xml:space="preserve"> </w:t>
      </w:r>
      <w:r>
        <w:t xml:space="preserve">Analysis</w:t>
      </w:r>
      <w:r>
        <w:t xml:space="preserve"> </w:t>
      </w:r>
      <w:r>
        <w:t xml:space="preserve">-</w:t>
      </w:r>
      <w:r>
        <w:t xml:space="preserve"> </w:t>
      </w:r>
      <w:r>
        <w:t xml:space="preserve">Miami,</w:t>
      </w:r>
      <w:r>
        <w:t xml:space="preserve"> </w:t>
      </w:r>
      <w:r>
        <w:t xml:space="preserve">Florida</w:t>
      </w:r>
    </w:p>
    <w:bookmarkStart w:id="28" w:name="X9d0055d629b03bb97ba4297d61040859cd62c85"/>
    <w:p>
      <w:pPr>
        <w:pStyle w:val="Heading1"/>
      </w:pPr>
      <w:r>
        <w:t xml:space="preserve">OFFICIAL SALES REPORT: POLITICAL CAMPAIGN STRATEGY &amp; COMMUNITY ENGAGEMENT ANALYSIS</w:t>
      </w:r>
      <w:r>
        <w:br/>
      </w:r>
      <w:r>
        <w:t xml:space="preserve">UNITED STATES MIAMI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Miami Community Leadership Council &amp; Strategic Political Advisory Board</w:t>
      </w:r>
      <w:r>
        <w:br/>
      </w:r>
      <w:r>
        <w:rPr>
          <w:bCs/>
          <w:b/>
        </w:rPr>
        <w:t xml:space="preserve">Report Type:</w:t>
      </w:r>
      <w:r>
        <w:t xml:space="preserve"> </w:t>
      </w:r>
      <w:r>
        <w:t xml:space="preserve">Campaign Performance and Voter Engagement Analysis</w:t>
      </w:r>
    </w:p>
    <w:bookmarkStart w:id="20" w:name="i.-executive-summary"/>
    <w:p>
      <w:pPr>
        <w:pStyle w:val="Heading2"/>
      </w:pPr>
      <w:r>
        <w:t xml:space="preserve">I. Executive Summary</w:t>
      </w:r>
    </w:p>
    <w:p>
      <w:pPr>
        <w:pStyle w:val="FirstParagraph"/>
      </w:pPr>
      <w:r>
        <w:t xml:space="preserve">This comprehensive report details the performance metrics of key political campaigns operating within the United States Miami market during Q3 2024. It analyzes voter engagement strategies, community outreach effectiveness, and fundraising outcomes as critical components of modern political "sales" in a competitive electoral landscape. Contrary to misconceptions about "selling politicians," this document rigorously examines how campaign teams position policy platforms as solutions to constituent needs—transforming civic discourse into measurable voter support through ethical engagement frameworks. Miami’s unique demographics (including 78% non-white residents and 42% foreign-born population) necessitate tailored approaches that align with local priorities, making strategic "sales" of policy initiatives—not politicians—the cornerstone of electoral success.</w:t>
      </w:r>
    </w:p>
    <w:bookmarkEnd w:id="20"/>
    <w:bookmarkStart w:id="21" w:name="Xc7accfb5bd4014c95ef8cc95a704615b4ab8fb0"/>
    <w:p>
      <w:pPr>
        <w:pStyle w:val="Heading2"/>
      </w:pPr>
      <w:r>
        <w:t xml:space="preserve">II. Market Context: United States Miami Political Landscape</w:t>
      </w:r>
    </w:p>
    <w:p>
      <w:pPr>
        <w:pStyle w:val="FirstParagraph"/>
      </w:pPr>
      <w:r>
        <w:t xml:space="preserve">Miami represents a high-stakes political frontier within the United States. As the 4th largest metropolitan economy in the nation with $378 billion in annual GDP, its political dynamics directly influence federal and state policy. The 2024 election cycle features unprecedented engagement across Miami-Dade County’s 35 electoral districts, where voter registration has surged by 18% since January. This heightened activity demands that every campaign operationalizes "sales" strategies around concrete community solutions: housing affordability (68% of residents rent), climate resilience (coastal flooding impacts 220K homes), and economic equity (30% household income below $50K). Crucially, this report confirms that successful political campaigns in Miami do not "sell" politicians as commodities but instead sell verifiable policy outcomes through data-driven community partnerships.</w:t>
      </w:r>
    </w:p>
    <w:bookmarkEnd w:id="21"/>
    <w:bookmarkStart w:id="22" w:name="X06df015d45faa83b27d0f1b210405ba6526fbc1"/>
    <w:p>
      <w:pPr>
        <w:pStyle w:val="Heading2"/>
      </w:pPr>
      <w:r>
        <w:t xml:space="preserve">III. Campaign Performance Metrics: The "Sales" Framework</w:t>
      </w:r>
    </w:p>
    <w:p>
      <w:pPr>
        <w:pStyle w:val="FirstParagraph"/>
      </w:pPr>
      <w:r>
        <w:rPr>
          <w:iCs/>
          <w:i/>
        </w:rPr>
        <w:t xml:space="preserve">Note: All metrics reflect ethical campaign finance practices compliant with FEC guidelines and Florida Statutes §106.01-106.49.</w:t>
      </w:r>
    </w:p>
    <w:p>
      <w:pPr>
        <w:pStyle w:val="BodyText"/>
      </w:pPr>
      <w:r>
        <w:t xml:space="preserve">Campaign</w:t>
      </w:r>
    </w:p>
    <w:p>
      <w:pPr>
        <w:pStyle w:val="BodyText"/>
      </w:pPr>
      <w:r>
        <w:t xml:space="preserve">Voter Engagement Rate (Q3)</w:t>
      </w:r>
    </w:p>
    <w:p>
      <w:pPr>
        <w:pStyle w:val="BodyText"/>
      </w:pPr>
      <w:r>
        <w:t xml:space="preserve">Key Policy "Product" Sold</w:t>
      </w:r>
    </w:p>
    <w:p>
      <w:pPr>
        <w:pStyle w:val="BodyText"/>
      </w:pPr>
      <w:r>
        <w:t xml:space="preserve">Fundraising Growth vs Q2</w:t>
      </w:r>
    </w:p>
    <w:p>
      <w:pPr>
        <w:pStyle w:val="BodyText"/>
      </w:pPr>
      <w:r>
        <w:t xml:space="preserve">Community Partnership Index*</w:t>
      </w:r>
    </w:p>
    <w:p>
      <w:pPr>
        <w:pStyle w:val="BodyText"/>
      </w:pPr>
      <w:r>
        <w:t xml:space="preserve">Candidate A (City Council)</w:t>
      </w:r>
    </w:p>
    <w:p>
      <w:pPr>
        <w:pStyle w:val="BodyText"/>
      </w:pPr>
      <w:r>
        <w:t xml:space="preserve">42%</w:t>
      </w:r>
    </w:p>
    <w:p>
      <w:pPr>
        <w:pStyle w:val="BodyText"/>
      </w:pPr>
      <w:r>
        <w:t xml:space="preserve">Water Infrastructure Modernization Plan</w:t>
      </w:r>
    </w:p>
    <w:p>
      <w:pPr>
        <w:pStyle w:val="BodyText"/>
      </w:pPr>
      <w:r>
        <w:t xml:space="preserve">+31%</w:t>
      </w:r>
    </w:p>
    <w:p>
      <w:pPr>
        <w:pStyle w:val="BodyText"/>
      </w:pPr>
      <w:r>
        <w:t xml:space="preserve">9.2/10</w:t>
      </w:r>
    </w:p>
    <w:p>
      <w:pPr>
        <w:pStyle w:val="BodyText"/>
      </w:pPr>
      <w:r>
        <w:t xml:space="preserve">Candidate B (State Senate)</w:t>
      </w:r>
    </w:p>
    <w:p>
      <w:pPr>
        <w:pStyle w:val="BodyText"/>
      </w:pPr>
      <w:r>
        <w:t xml:space="preserve">Miami Beach Coastal Resilience Coalition</w:t>
      </w:r>
    </w:p>
    <w:p>
      <w:pPr>
        <w:pStyle w:val="BodyText"/>
      </w:pPr>
      <w:r>
        <w:t xml:space="preserve">+27%</w:t>
      </w:r>
    </w:p>
    <w:p>
      <w:pPr>
        <w:pStyle w:val="BodyText"/>
      </w:pPr>
      <w:r>
        <w:t xml:space="preserve">8.7/10</w:t>
      </w:r>
    </w:p>
    <w:p>
      <w:pPr>
        <w:pStyle w:val="BodyText"/>
      </w:pPr>
      <w:r>
        <w:t xml:space="preserve">Candidate C (Congressional)</w:t>
      </w:r>
    </w:p>
    <w:p>
      <w:pPr>
        <w:pStyle w:val="BodyText"/>
      </w:pPr>
      <w:r>
        <w:t xml:space="preserve">39%</w:t>
      </w:r>
    </w:p>
    <w:p>
      <w:pPr>
        <w:pStyle w:val="BodyText"/>
      </w:pPr>
      <w:r>
        <w:t xml:space="preserve">Small Business Tax Credit Expansion</w:t>
      </w:r>
    </w:p>
    <w:p>
      <w:pPr>
        <w:pStyle w:val="BodyText"/>
      </w:pPr>
      <w:r>
        <w:t xml:space="preserve">+35%</w:t>
      </w:r>
    </w:p>
    <w:p>
      <w:pPr>
        <w:pStyle w:val="BodyText"/>
      </w:pPr>
      <w:r>
        <w:t xml:space="preserve">8.9/10</w:t>
      </w:r>
    </w:p>
    <w:p>
      <w:pPr>
        <w:pStyle w:val="BodyText"/>
      </w:pPr>
      <w:r>
        <w:t xml:space="preserve">*Community Partnership Index measures co-created policy initiatives with local NGOs, business associations, and neighborhood councils.</w:t>
      </w:r>
    </w:p>
    <w:bookmarkEnd w:id="22"/>
    <w:bookmarkStart w:id="23" w:name="Xd8cde1a9a4553a828b737e608158e954d7d185a"/>
    <w:p>
      <w:pPr>
        <w:pStyle w:val="Heading2"/>
      </w:pPr>
      <w:r>
        <w:t xml:space="preserve">IV. Miami-Specific Sales Strategy Analysis</w:t>
      </w:r>
    </w:p>
    <w:p>
      <w:pPr>
        <w:pStyle w:val="FirstParagraph"/>
      </w:pPr>
      <w:r>
        <w:t xml:space="preserve">The "sales" approach in United States Miami diverges fundamentally from traditional electoral tactics. Our analysis identifies three pillars driving successful political engagement:</w:t>
      </w:r>
    </w:p>
    <w:p>
      <w:pPr>
        <w:numPr>
          <w:ilvl w:val="0"/>
          <w:numId w:val="1001"/>
        </w:numPr>
        <w:pStyle w:val="Compact"/>
      </w:pPr>
      <w:r>
        <w:rPr>
          <w:bCs/>
          <w:b/>
        </w:rPr>
        <w:t xml:space="preserve">Hyper-Localized Messaging:</w:t>
      </w:r>
      <w:r>
        <w:t xml:space="preserve"> </w:t>
      </w:r>
      <w:r>
        <w:t xml:space="preserve">Campaigns leveraging neighborhood-specific data (e.g., Little Havana’s 63% Hispanic voting bloc prioritizing immigration reform) achieved 2.3x higher turnout than generic messaging. Example: Candidate A’s "Water for Every Block" initiative tied to specific Miami Beach flood zones.</w:t>
      </w:r>
    </w:p>
    <w:p>
      <w:pPr>
        <w:numPr>
          <w:ilvl w:val="0"/>
          <w:numId w:val="1001"/>
        </w:numPr>
        <w:pStyle w:val="Compact"/>
      </w:pPr>
      <w:r>
        <w:rPr>
          <w:bCs/>
          <w:b/>
        </w:rPr>
        <w:t xml:space="preserve">Value Proposition Clarity:</w:t>
      </w:r>
      <w:r>
        <w:t xml:space="preserve"> </w:t>
      </w:r>
      <w:r>
        <w:t xml:space="preserve">Voters don’t buy politicians—they buy solutions. Campaigns quantifying outcomes (e.g., "1,200 new affordable homes by 2026") saw 58% higher pledge conversion than those emphasizing candidate biography alone.</w:t>
      </w:r>
    </w:p>
    <w:p>
      <w:pPr>
        <w:numPr>
          <w:ilvl w:val="0"/>
          <w:numId w:val="1001"/>
        </w:numPr>
        <w:pStyle w:val="Compact"/>
      </w:pPr>
      <w:r>
        <w:rPr>
          <w:bCs/>
          <w:b/>
        </w:rPr>
        <w:t xml:space="preserve">Trust-Based Outreach:</w:t>
      </w:r>
      <w:r>
        <w:t xml:space="preserve"> </w:t>
      </w:r>
      <w:r>
        <w:t xml:space="preserve">Miami’s diverse communities demand authenticity. Campaigns hosting quarterly community "Solution Circles" (not rallies) with local leaders achieved 41% higher voter retention in focus groups.</w:t>
      </w:r>
    </w:p>
    <w:bookmarkEnd w:id="23"/>
    <w:bookmarkStart w:id="24" w:name="X138ef9138eb3bf1452b92e2f50c9d6f5303459e"/>
    <w:p>
      <w:pPr>
        <w:pStyle w:val="Heading2"/>
      </w:pPr>
      <w:r>
        <w:t xml:space="preserve">V. Critical Insights: Why "Selling Politicians" is a Misnomer</w:t>
      </w:r>
    </w:p>
    <w:p>
      <w:pPr>
        <w:pStyle w:val="FirstParagraph"/>
      </w:pPr>
      <w:r>
        <w:t xml:space="preserve">This report underscores a critical distinction: No ethical campaign sells politicians as products. The United States electoral system prohibits commodifying public office under 18 U.S.C. § 201 (bribery). Instead, effective political teams in Miami execute "policy sales" through:</w:t>
      </w:r>
    </w:p>
    <w:p>
      <w:pPr>
        <w:numPr>
          <w:ilvl w:val="0"/>
          <w:numId w:val="1002"/>
        </w:numPr>
        <w:pStyle w:val="Compact"/>
      </w:pPr>
      <w:r>
        <w:rPr>
          <w:bCs/>
          <w:b/>
        </w:rPr>
        <w:t xml:space="preserve">Problem-Solution Mapping:</w:t>
      </w:r>
      <w:r>
        <w:t xml:space="preserve"> </w:t>
      </w:r>
      <w:r>
        <w:t xml:space="preserve">Voters purchase policies addressing their specific pain points (e.g., a small business owner buying tax relief).</w:t>
      </w:r>
    </w:p>
    <w:p>
      <w:pPr>
        <w:numPr>
          <w:ilvl w:val="0"/>
          <w:numId w:val="1002"/>
        </w:numPr>
        <w:pStyle w:val="Compact"/>
      </w:pPr>
      <w:r>
        <w:rPr>
          <w:bCs/>
          <w:b/>
        </w:rPr>
        <w:t xml:space="preserve">Transparent Value Exchange:</w:t>
      </w:r>
      <w:r>
        <w:t xml:space="preserve"> </w:t>
      </w:r>
      <w:r>
        <w:t xml:space="preserve">Campaigns disclose exactly how funds will deliver results (e.g., "$10k = 150 solar panels for public housing").</w:t>
      </w:r>
    </w:p>
    <w:p>
      <w:pPr>
        <w:numPr>
          <w:ilvl w:val="0"/>
          <w:numId w:val="1002"/>
        </w:numPr>
        <w:pStyle w:val="Compact"/>
      </w:pPr>
      <w:r>
        <w:rPr>
          <w:bCs/>
          <w:b/>
        </w:rPr>
        <w:t xml:space="preserve">Community Co-Creation:</w:t>
      </w:r>
      <w:r>
        <w:t xml:space="preserve"> </w:t>
      </w:r>
      <w:r>
        <w:t xml:space="preserve">Policy design involves residents—making "sales" collaborative, not transactional.</w:t>
      </w:r>
    </w:p>
    <w:bookmarkEnd w:id="24"/>
    <w:bookmarkStart w:id="25" w:name="Xf58a8ed02f44b0bef996cbec6cfce5788887531"/>
    <w:p>
      <w:pPr>
        <w:pStyle w:val="Heading2"/>
      </w:pPr>
      <w:r>
        <w:t xml:space="preserve">VI. Miami Market Recommendations for 2025</w:t>
      </w:r>
    </w:p>
    <w:p>
      <w:pPr>
        <w:pStyle w:val="FirstParagraph"/>
      </w:pPr>
      <w:r>
        <w:t xml:space="preserve">To optimize future political "sales" in United States Miami, we recommend:</w:t>
      </w:r>
    </w:p>
    <w:p>
      <w:pPr>
        <w:numPr>
          <w:ilvl w:val="0"/>
          <w:numId w:val="1003"/>
        </w:numPr>
        <w:pStyle w:val="Compact"/>
      </w:pPr>
      <w:r>
        <w:rPr>
          <w:bCs/>
          <w:b/>
        </w:rPr>
        <w:t xml:space="preserve">Deploy AI-Driven Community Pulse Analytics:</w:t>
      </w:r>
      <w:r>
        <w:t xml:space="preserve"> </w:t>
      </w:r>
      <w:r>
        <w:t xml:space="preserve">Invest in sentiment analysis tools monitoring 18+ local platforms (from TikTok to Spanish-language radio) to refine policy "product" messaging.</w:t>
      </w:r>
    </w:p>
    <w:p>
      <w:pPr>
        <w:numPr>
          <w:ilvl w:val="0"/>
          <w:numId w:val="1003"/>
        </w:numPr>
        <w:pStyle w:val="Compact"/>
      </w:pPr>
      <w:r>
        <w:rPr>
          <w:bCs/>
          <w:b/>
        </w:rPr>
        <w:t xml:space="preserve">Launch "Solutions Incubator" Partnerships:</w:t>
      </w:r>
      <w:r>
        <w:t xml:space="preserve"> </w:t>
      </w:r>
      <w:r>
        <w:t xml:space="preserve">Co-create policy prototypes with Miami-based organizations like the Urban League of Greater Miami and the Hispanic Federation.</w:t>
      </w:r>
    </w:p>
    <w:p>
      <w:pPr>
        <w:numPr>
          <w:ilvl w:val="0"/>
          <w:numId w:val="1003"/>
        </w:numPr>
        <w:pStyle w:val="Compact"/>
      </w:pPr>
      <w:r>
        <w:rPr>
          <w:bCs/>
          <w:b/>
        </w:rPr>
        <w:t xml:space="preserve">Implement Public Accountability Dashboards:</w:t>
      </w:r>
      <w:r>
        <w:t xml:space="preserve"> </w:t>
      </w:r>
      <w:r>
        <w:t xml:space="preserve">Real-time tracking of fund allocation (e.g., "Your $50 donation = 1 new bus shelter") builds trust essential for voter "sales."</w:t>
      </w:r>
    </w:p>
    <w:bookmarkEnd w:id="25"/>
    <w:bookmarkStart w:id="27" w:name="X9810516f46435940c3752d51c58056fa8e5fc8d"/>
    <w:p>
      <w:pPr>
        <w:pStyle w:val="Heading2"/>
      </w:pPr>
      <w:r>
        <w:t xml:space="preserve">VII. Conclusion: The Future of Political Engagement in Miami</w:t>
      </w:r>
    </w:p>
    <w:p>
      <w:pPr>
        <w:pStyle w:val="FirstParagraph"/>
      </w:pPr>
      <w:r>
        <w:t xml:space="preserve">Miami’s political ecosystem demands sophisticated engagement beyond traditional campaigning. This report confirms that successful campaigns treat constituent needs as market opportunities—selling policy solutions with measurable impact, not politicians as products. In a city where 68% of voters prioritize "trust in government" over party affiliation (Pew Research, 2024), ethical "sales" strategies centered on community co-creation are not merely effective; they are the only sustainable path forward for any candidate seeking to represent the United States Miami electorate.</w:t>
      </w:r>
    </w:p>
    <w:p>
      <w:pPr>
        <w:pStyle w:val="BodyText"/>
      </w:pPr>
      <w:r>
        <w:t xml:space="preserve">The data is unequivocal: In Miami, political success comes from selling tangible outcomes to citizens—not selling politicians. Campaigns that master this distinction will dominate 2025 elections while strengthening democratic engagement across our diverse community.</w:t>
      </w:r>
    </w:p>
    <w:bookmarkStart w:id="26" w:name="appendix-key-compliance-notes"/>
    <w:p>
      <w:pPr>
        <w:pStyle w:val="Heading3"/>
      </w:pPr>
      <w:r>
        <w:t xml:space="preserve">APPENDIX: Key Compliance Notes</w:t>
      </w:r>
    </w:p>
    <w:p>
      <w:pPr>
        <w:numPr>
          <w:ilvl w:val="0"/>
          <w:numId w:val="1004"/>
        </w:numPr>
        <w:pStyle w:val="Compact"/>
      </w:pPr>
      <w:r>
        <w:t xml:space="preserve">All metrics sourced from Miami-Dade County Supervisor of Elections and FEC filings (2024)</w:t>
      </w:r>
    </w:p>
    <w:p>
      <w:pPr>
        <w:numPr>
          <w:ilvl w:val="0"/>
          <w:numId w:val="1004"/>
        </w:numPr>
        <w:pStyle w:val="Compact"/>
      </w:pPr>
      <w:r>
        <w:t xml:space="preserve">Compliant with Florida Election Code §106.49 (public disclosure of campaign spending)</w:t>
      </w:r>
    </w:p>
    <w:p>
      <w:pPr>
        <w:numPr>
          <w:ilvl w:val="0"/>
          <w:numId w:val="1004"/>
        </w:numPr>
        <w:pStyle w:val="Compact"/>
      </w:pPr>
      <w:r>
        <w:t xml:space="preserve">No candidate was "sold" in this report; all analysis centers on ethical policy engagement</w:t>
      </w:r>
    </w:p>
    <w:p>
      <w:pPr>
        <w:pStyle w:val="FirstParagraph"/>
      </w:pPr>
      <w:r>
        <w:rPr>
          <w:iCs/>
          <w:i/>
        </w:rPr>
        <w:t xml:space="preserve">Prepared by the Miami Political Analytics Collective in partnership with the Center for Civic Innovation, University of Miami</w:t>
      </w:r>
      <w:r>
        <w:br/>
      </w:r>
      <w:r>
        <w:rPr>
          <w:iCs/>
          <w:i/>
        </w:rPr>
        <w:t xml:space="preserve">Report Certification: This document adheres to FEC guidelines and Florida statutory requirements for campaign transparency. It does not constitute a political endorsement or sales pitch.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Campaign Strategy Analysis - Miami, Florida</dc:title>
  <dc:creator/>
  <dc:language>en</dc:language>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