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Political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  <w:r>
        <w:t xml:space="preserve"> </w:t>
      </w:r>
      <w:r>
        <w:t xml:space="preserve">Campaign</w:t>
      </w:r>
    </w:p>
    <w:bookmarkStart w:id="31" w:name="political-sales-performance-report"/>
    <w:p>
      <w:pPr>
        <w:pStyle w:val="Heading1"/>
      </w:pPr>
      <w:r>
        <w:t xml:space="preserve">POLITICAL SALES PERFORMANCE REPORT</w:t>
      </w:r>
    </w:p>
    <w:bookmarkStart w:id="30" w:name="X4237dc3920a70657b507e5d8d5d98060b1fd3ea"/>
    <w:p>
      <w:pPr>
        <w:pStyle w:val="Heading2"/>
      </w:pPr>
      <w:r>
        <w:t xml:space="preserve">UNITED STATES - NEW YORK CITY CANDIDATE ASSESSMENT</w:t>
      </w:r>
    </w:p>
    <w:p>
      <w:pPr>
        <w:pStyle w:val="FirstParagraph"/>
      </w:pPr>
      <w:r>
        <w:t xml:space="preserve">Prepared for the Political Strategy Division • Q3 2023 Report • Confidential</w:t>
      </w:r>
    </w:p>
    <w:p>
      <w:r>
        <w:pict>
          <v:rect style="width:0;height:1.5pt" o:hralign="center" o:hrstd="t" o:hr="t"/>
        </w:pic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comprehensive sales performance report analyzes the electoral marketplace dynamics for Councilmember Maria Chen's re-election campaign in New York City's 7th District. Unlike traditional commercial sales, this "product" is political capital, voter support, and policy alignment – with New York City representing the most complex and high-stakes political sales territory in the United States. The report details a 32% increase in voter engagement conversions (from 48% to 62%) since Q1, driven by targeted neighborhood outreach strategies. Crucially, this campaign has achieved an unprecedented $1.8 million in fundraising – exceeding the previous city council record by 45% – demonstrating exceptional sales velocity for political candidates within NYC's competitive landscape.</w:t>
      </w:r>
    </w:p>
    <w:bookmarkEnd w:id="20"/>
    <w:bookmarkStart w:id="21" w:name="sales-performance-metrics-q2-q3-2023"/>
    <w:p>
      <w:pPr>
        <w:pStyle w:val="Heading3"/>
      </w:pPr>
      <w:r>
        <w:t xml:space="preserve">Sales Performance Metrics (Q2-Q3 2023)</w:t>
      </w:r>
    </w:p>
    <w:p>
      <w:pPr>
        <w:pStyle w:val="FirstParagraph"/>
      </w:pPr>
      <w:r>
        <w:t xml:space="preserve">Sales Metric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Change</w:t>
      </w:r>
    </w:p>
    <w:p>
      <w:pPr>
        <w:pStyle w:val="BodyText"/>
      </w:pPr>
      <w:r>
        <w:t xml:space="preserve">City Average Benchmark*</w:t>
      </w:r>
    </w:p>
    <w:p>
      <w:pPr>
        <w:pStyle w:val="BodyText"/>
      </w:pPr>
      <w:r>
        <w:t xml:space="preserve">Fundraising Revenue ($)</w:t>
      </w:r>
    </w:p>
    <w:p>
      <w:pPr>
        <w:pStyle w:val="BodyText"/>
      </w:pPr>
      <w:r>
        <w:t xml:space="preserve">$1,250,000</w:t>
      </w:r>
    </w:p>
    <w:p>
      <w:pPr>
        <w:pStyle w:val="BodyText"/>
      </w:pPr>
      <w:r>
        <w:t xml:space="preserve">$1,845,623</w:t>
      </w:r>
    </w:p>
    <w:p>
      <w:pPr>
        <w:pStyle w:val="BodyText"/>
      </w:pPr>
      <w:r>
        <w:t xml:space="preserve">+47.6%</w:t>
      </w:r>
    </w:p>
    <w:p>
      <w:pPr>
        <w:pStyle w:val="BodyText"/>
      </w:pPr>
      <w:r>
        <w:t xml:space="preserve">$987,452</w:t>
      </w:r>
    </w:p>
    <w:p>
      <w:pPr>
        <w:pStyle w:val="BodyText"/>
      </w:pPr>
      <w:r>
        <w:t xml:space="preserve">Voter Outreach Conversions</w:t>
      </w:r>
    </w:p>
    <w:p>
      <w:pPr>
        <w:pStyle w:val="BodyText"/>
      </w:pPr>
      <w:r>
        <w:t xml:space="preserve">52%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+11 pts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*Source: NYC Campaign Finance Board, Q2 2023 Municipal Data</w:t>
      </w:r>
    </w:p>
    <w:p>
      <w:pPr>
        <w:pStyle w:val="BodyText"/>
      </w:pPr>
      <w:r>
        <w:t xml:space="preserve">The campaign's success stems from treating political engagement as a high-value sales process. In New York City's unique electoral environment – where voter registration spans over 15 million residents across five boroughs – we've implemented a tiered sales strategy mirroring commercial best practices:</w:t>
      </w:r>
    </w:p>
    <w:bookmarkEnd w:id="21"/>
    <w:bookmarkStart w:id="25" w:name="X9b89593e839e2415ac9b5bc6000891d4eb9fd2d"/>
    <w:p>
      <w:pPr>
        <w:pStyle w:val="Heading3"/>
      </w:pPr>
      <w:r>
        <w:t xml:space="preserve">Key Sales Strategies &amp; NYC-Specific Adaptations</w:t>
      </w:r>
    </w:p>
    <w:bookmarkStart w:id="22" w:name="Xc3025d0d07298ce731e67d7686f76e2d7400fab"/>
    <w:p>
      <w:pPr>
        <w:pStyle w:val="Heading4"/>
      </w:pPr>
      <w:r>
        <w:t xml:space="preserve">1. Hyperlocal Territory Mapping (The "Neighborhood Sales Zones")</w:t>
      </w:r>
    </w:p>
    <w:p>
      <w:pPr>
        <w:pStyle w:val="FirstParagraph"/>
      </w:pPr>
      <w:r>
        <w:t xml:space="preserve">In New York City, political geography is non-negotiable. We divided the 7th District into 12 micro-markets using Census tract data and voter history analytics – identical to how commercial sales teams segment territories. Each zone has a dedicated field representative (vs. generic canvassers), resulting in 38% higher door-to-door conversion rates versus citywide averages. For example, the Astoria "sales district" achieved 71% engagement through culturally targeted outreach (Spanish/English bilingual staff in key neighborhoods), demonstrating NYC's diversity as a sales advantage.</w:t>
      </w:r>
    </w:p>
    <w:bookmarkEnd w:id="22"/>
    <w:bookmarkStart w:id="23" w:name="Xaf8d9c0aec19bc7df1f1a6ca0499907b535f7c7"/>
    <w:p>
      <w:pPr>
        <w:pStyle w:val="Heading4"/>
      </w:pPr>
      <w:r>
        <w:t xml:space="preserve">2. Product Customization: Tailored Policy Sales Pitches</w:t>
      </w:r>
    </w:p>
    <w:p>
      <w:pPr>
        <w:pStyle w:val="FirstParagraph"/>
      </w:pPr>
      <w:r>
        <w:t xml:space="preserve">Unlike mass-market political campaigns, we've developed distinct policy "product lines" for different voter segments – mirroring B2B sales customization: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 Business Owners (Queens):</w:t>
      </w:r>
      <w:r>
        <w:t xml:space="preserve"> </w:t>
      </w:r>
      <w:r>
        <w:t xml:space="preserve">"Affordable Commercial Space Sales Package" (reduced business tax rates)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Housing Residents (Brooklyn):</w:t>
      </w:r>
      <w:r>
        <w:t xml:space="preserve"> </w:t>
      </w:r>
      <w:r>
        <w:t xml:space="preserve">"Building Maintenance &amp; Security Solution" (funding for elevator repairs, new security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Professionals (Manhattan):</w:t>
      </w:r>
      <w:r>
        <w:t xml:space="preserve"> </w:t>
      </w:r>
      <w:r>
        <w:t xml:space="preserve">"Affordable Transit Pass Subscription" (expanded subway discounts)</w:t>
      </w:r>
    </w:p>
    <w:p>
      <w:pPr>
        <w:pStyle w:val="FirstParagraph"/>
      </w:pPr>
      <w:r>
        <w:t xml:space="preserve">This approach generated a 27% higher endorsement rate from targeted demographics compared to generic campaign messaging.</w:t>
      </w:r>
    </w:p>
    <w:bookmarkEnd w:id="23"/>
    <w:bookmarkStart w:id="24" w:name="digital-sales-channel-optimization"/>
    <w:p>
      <w:pPr>
        <w:pStyle w:val="Heading4"/>
      </w:pPr>
      <w:r>
        <w:t xml:space="preserve">3. Digital Sales Channel Optimization</w:t>
      </w:r>
    </w:p>
    <w:p>
      <w:pPr>
        <w:pStyle w:val="FirstParagraph"/>
      </w:pPr>
      <w:r>
        <w:t xml:space="preserve">In the digital marketplace of New York City, we've transformed social media into a sales funnel:</w:t>
      </w:r>
    </w:p>
    <w:p>
      <w:pPr>
        <w:numPr>
          <w:ilvl w:val="0"/>
          <w:numId w:val="1002"/>
        </w:numPr>
        <w:pStyle w:val="Compact"/>
      </w:pPr>
      <w:r>
        <w:t xml:space="preserve">Instagram/TikTok: "Voter Consultation" live sessions (78% engagement rate vs. city average 42%)</w:t>
      </w:r>
    </w:p>
    <w:p>
      <w:pPr>
        <w:numPr>
          <w:ilvl w:val="0"/>
          <w:numId w:val="1002"/>
        </w:numPr>
        <w:pStyle w:val="Compact"/>
      </w:pPr>
      <w:r>
        <w:t xml:space="preserve">Targeted Facebook ads: Geofenced to specific ZIP codes with policy-focused content</w:t>
      </w:r>
    </w:p>
    <w:p>
      <w:pPr>
        <w:numPr>
          <w:ilvl w:val="0"/>
          <w:numId w:val="1002"/>
        </w:numPr>
        <w:pStyle w:val="Compact"/>
      </w:pPr>
      <w:r>
        <w:t xml:space="preserve">Email marketing: Segmented by voter interest (e.g., housing, transportation) – 51% open rate versus NYC campaign average of 38%</w:t>
      </w:r>
    </w:p>
    <w:p>
      <w:pPr>
        <w:pStyle w:val="FirstParagraph"/>
      </w:pPr>
      <w:r>
        <w:t xml:space="preserve">This digital sales ecosystem generated $412,000 in micro-donations – a new benchmark for NYC municipal campaigns.</w:t>
      </w:r>
    </w:p>
    <w:bookmarkEnd w:id="24"/>
    <w:bookmarkEnd w:id="25"/>
    <w:bookmarkStart w:id="26" w:name="competitive-sales-landscape-analysis"/>
    <w:p>
      <w:pPr>
        <w:pStyle w:val="Heading3"/>
      </w:pPr>
      <w:r>
        <w:t xml:space="preserve">Competitive Sales Landscape Analysis</w:t>
      </w:r>
    </w:p>
    <w:p>
      <w:pPr>
        <w:pStyle w:val="FirstParagraph"/>
      </w:pPr>
      <w:r>
        <w:t xml:space="preserve">Unlike commercial markets where competitors are clear, political sales require analyzing opposing candidates as "competitor products" in the voter's mind. Our analysis reveals critical differentiators:</w:t>
      </w:r>
    </w:p>
    <w:p>
      <w:pPr>
        <w:pStyle w:val="BodyText"/>
      </w:pPr>
      <w:r>
        <w:t xml:space="preserve">Competitor Factor</w:t>
      </w:r>
    </w:p>
    <w:p>
      <w:pPr>
        <w:pStyle w:val="BodyText"/>
      </w:pPr>
      <w:r>
        <w:t xml:space="preserve">Chen Campaign</w:t>
      </w:r>
    </w:p>
    <w:p>
      <w:pPr>
        <w:pStyle w:val="BodyText"/>
      </w:pPr>
      <w:r>
        <w:t xml:space="preserve">Opponent A (Incumbent)</w:t>
      </w:r>
    </w:p>
    <w:p>
      <w:pPr>
        <w:pStyle w:val="BodyText"/>
      </w:pPr>
      <w:r>
        <w:t xml:space="preserve">Opponent B (New Challenger)</w:t>
      </w:r>
    </w:p>
    <w:p>
      <w:pPr>
        <w:pStyle w:val="BodyText"/>
      </w:pPr>
      <w:r>
        <w:t xml:space="preserve">Local Issue Knowledge</w:t>
      </w:r>
    </w:p>
    <w:p>
      <w:pPr>
        <w:pStyle w:val="BodyText"/>
      </w:pPr>
      <w:r>
        <w:rPr>
          <w:bCs/>
          <w:b/>
        </w:rPr>
        <w:t xml:space="preserve">92%</w:t>
      </w:r>
    </w:p>
    <w:p>
      <w:pPr>
        <w:pStyle w:val="BodyText"/>
      </w:pPr>
      <w:r>
        <w:t xml:space="preserve">64%</w:t>
      </w:r>
    </w:p>
    <w:p>
      <w:pPr>
        <w:pStyle w:val="BodyText"/>
      </w:pPr>
      <w:r>
        <w:t xml:space="preserve">51%</w:t>
      </w:r>
    </w:p>
    <w:p>
      <w:pPr>
        <w:pStyle w:val="BodyText"/>
      </w:pPr>
      <w:r>
        <w:t xml:space="preserve">Fundraising Velocity</w:t>
      </w:r>
    </w:p>
    <w:p>
      <w:pPr>
        <w:pStyle w:val="BodyText"/>
      </w:pPr>
      <w:r>
        <w:rPr>
          <w:bCs/>
          <w:b/>
        </w:rPr>
        <w:t xml:space="preserve">$2.3k/week</w:t>
      </w:r>
    </w:p>
    <w:p>
      <w:pPr>
        <w:pStyle w:val="BodyText"/>
      </w:pPr>
      <w:r>
        <w:t xml:space="preserve">$1.1k/week</w:t>
      </w:r>
    </w:p>
    <w:p>
      <w:pPr>
        <w:pStyle w:val="BodyText"/>
      </w:pPr>
      <w:r>
        <w:t xml:space="preserve">$0.9k/week</w:t>
      </w:r>
    </w:p>
    <w:p>
      <w:pPr>
        <w:pStyle w:val="BodyText"/>
      </w:pPr>
      <w:r>
        <w:t xml:space="preserve">Voter Trust Score (NYC Poll)</w:t>
      </w:r>
    </w:p>
    <w:p>
      <w:pPr>
        <w:pStyle w:val="BodyText"/>
      </w:pPr>
      <w:r>
        <w:rPr>
          <w:bCs/>
          <w:b/>
        </w:rPr>
        <w:t xml:space="preserve">68%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39%</w:t>
      </w:r>
    </w:p>
    <w:p>
      <w:pPr>
        <w:pStyle w:val="BodyText"/>
      </w:pPr>
      <w:r>
        <w:t xml:space="preserve">"In New York City, voters don't buy policy – they buy trust. Our sales strategy focuses on proving we deliver solutions at the neighborhood level, where politics becomes personal."</w:t>
      </w:r>
      <w:r>
        <w:br/>
      </w:r>
      <w:r>
        <w:t xml:space="preserve">- Councilmember Maria Chen's Campaign Manager</w:t>
      </w:r>
    </w:p>
    <w:bookmarkEnd w:id="26"/>
    <w:bookmarkStart w:id="27" w:name="X4a44a1a6a229ebd00fdf0076ad0c678638c7f20"/>
    <w:p>
      <w:pPr>
        <w:pStyle w:val="Heading3"/>
      </w:pPr>
      <w:r>
        <w:t xml:space="preserve">Challenges in the NYC Political Sales Environment</w:t>
      </w:r>
    </w:p>
    <w:p>
      <w:pPr>
        <w:pStyle w:val="FirstParagraph"/>
      </w:pPr>
      <w:r>
        <w:t xml:space="preserve">Operating within New York City's unique political ecosystem presents distinct sales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NYC Campaign Finance Board requirements (Section 102) adds 38 hours/month to administrative sales tasks.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Media Noise:</w:t>
      </w:r>
      <w:r>
        <w:t xml:space="preserve"> </w:t>
      </w:r>
      <w:r>
        <w:t xml:space="preserve">The city's dense media landscape requires constant message calibration – we've reduced negative sentiment by 22% through rapid-response "sales recovery"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Diverse Customer Base:</w:t>
      </w:r>
      <w:r>
        <w:t xml:space="preserve"> </w:t>
      </w:r>
      <w:r>
        <w:t xml:space="preserve">Serving a population with 37% foreign-born residents demands multilingual sales assets (we now deploy Spanish, Mandarin, and Arabic outreach materials).</w:t>
      </w:r>
    </w:p>
    <w:bookmarkEnd w:id="27"/>
    <w:bookmarkStart w:id="28" w:name="sales-targets-strategic-roadmap"/>
    <w:p>
      <w:pPr>
        <w:pStyle w:val="Heading3"/>
      </w:pPr>
      <w:r>
        <w:t xml:space="preserve">2024 Sales Targets &amp; Strategic Roadmap</w:t>
      </w:r>
    </w:p>
    <w:p>
      <w:pPr>
        <w:pStyle w:val="FirstParagraph"/>
      </w:pPr>
      <w:r>
        <w:t xml:space="preserve">Building on Q3 success, our 2024 sales goals focus on scaling proven NYC-specific tactics: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Neighborhood Sales Territories:</w:t>
      </w:r>
      <w:r>
        <w:t xml:space="preserve"> </w:t>
      </w:r>
      <w:r>
        <w:t xml:space="preserve">Add 4 new micro-markets (Bronx, Staten Island) to achieve citywide coverage by Q2.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Increase Digital Conversion Rate:</w:t>
      </w:r>
      <w:r>
        <w:t xml:space="preserve"> </w:t>
      </w:r>
      <w:r>
        <w:t xml:space="preserve">Implement AI-driven email optimization to reach 65% open rate (current: 51%).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Secure Key Institutional Sales:</w:t>
      </w:r>
      <w:r>
        <w:t xml:space="preserve"> </w:t>
      </w:r>
      <w:r>
        <w:t xml:space="preserve">Target 12 new union endorsements (current: 8) – critical for voter mobilization in NYC.</w:t>
      </w:r>
    </w:p>
    <w:p>
      <w:pPr>
        <w:pStyle w:val="FirstParagraph"/>
      </w:pPr>
      <w:r>
        <w:t xml:space="preserve">The most significant opportunity lies in transforming "voter acquisition" into "long-term political customer retention." Our post-election strategy includes quarterly town hall sales calls to maintain engagement beyond the election cycle – a practice virtually absent in current New York City politics.</w:t>
      </w:r>
    </w:p>
    <w:bookmarkEnd w:id="28"/>
    <w:bookmarkStart w:id="29" w:name="X669d2ac2b94b05912c3a7e99b25d91c02f7e636"/>
    <w:p>
      <w:pPr>
        <w:pStyle w:val="Heading3"/>
      </w:pPr>
      <w:r>
        <w:t xml:space="preserve">Conclusion: The Future of Political Sales in NYC</w:t>
      </w:r>
    </w:p>
    <w:p>
      <w:pPr>
        <w:pStyle w:val="FirstParagraph"/>
      </w:pPr>
      <w:r>
        <w:t xml:space="preserve">This report confirms that successful political campaigns in the United States' most populous city must operate as sophisticated sales organizations. Councilmember Chen's campaign has redefined political "sales performance" through data-driven neighborhood segmentation, policy customization, and digital engagement – proving that New York City politics is not merely about winning votes, but about building verifiable customer relationships at scale.</w:t>
      </w:r>
    </w:p>
    <w:p>
      <w:pPr>
        <w:pStyle w:val="BodyText"/>
      </w:pPr>
      <w:r>
        <w:t xml:space="preserve">As the only candidate in the 7th District to exceed $1.8 million in fundraising during Q3 (surpassing all opponents combined), and with a voter trust score exceeding city benchmarks by 21 points, our sales model demonstrates that political leadership can be measured, optimized, and scaled like any high-value commercial product. In New York City – where political capital is the ultimate currency – this campaign has established a new benchmark for electoral performance.</w:t>
      </w:r>
    </w:p>
    <w:p>
      <w:pPr>
        <w:pStyle w:val="BodyText"/>
      </w:pPr>
      <w:r>
        <w:t xml:space="preserve">Prepared by Political Sales Intelligence Group • Data as of September 30, 2023 • United States New York City</w:t>
      </w:r>
    </w:p>
    <w:p>
      <w:pPr>
        <w:pStyle w:val="BodyText"/>
      </w:pPr>
      <w:r>
        <w:t xml:space="preserve">This document complies with NYC Campaign Finance Board reporting standards. Sales metrics reflect verified voter contact data from official precinct reports.</w:t>
      </w:r>
    </w:p>
    <w:p>
      <w:pPr>
        <w:pStyle w:val="BodyText"/>
      </w:pPr>
      <w:r>
        <w:t xml:space="preserve">Confidential – For Internal Political Strategy Use Only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Sales Performance Report: New York City Campaign</dc:title>
  <dc:creator/>
  <dc:language>en</dc:language>
  <cp:keywords/>
  <dcterms:created xsi:type="dcterms:W3CDTF">2026-07-24T20:22:42Z</dcterms:created>
  <dcterms:modified xsi:type="dcterms:W3CDTF">2026-07-24T20:22:42Z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