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Uzbekistan</w:t>
      </w:r>
      <w:r>
        <w:t xml:space="preserve"> </w:t>
      </w:r>
      <w:r>
        <w:t xml:space="preserve">Tashkent</w:t>
      </w:r>
      <w:r>
        <w:t xml:space="preserve"> </w:t>
      </w:r>
      <w:r>
        <w:t xml:space="preserve">Political</w:t>
      </w:r>
      <w:r>
        <w:t xml:space="preserve"> </w:t>
      </w:r>
      <w:r>
        <w:t xml:space="preserve">Sales</w:t>
      </w:r>
      <w:r>
        <w:t xml:space="preserve"> </w:t>
      </w:r>
      <w:r>
        <w:t xml:space="preserve">Performance</w:t>
      </w:r>
      <w:r>
        <w:t xml:space="preserve"> </w:t>
      </w:r>
      <w:r>
        <w:t xml:space="preserve">Report</w:t>
      </w:r>
    </w:p>
    <w:bookmarkStart w:id="30" w:name="X0bcc56d96f03aaab25762b55e46b3eef6a21f11"/>
    <w:p>
      <w:pPr>
        <w:pStyle w:val="Heading1"/>
      </w:pPr>
      <w:r>
        <w:t xml:space="preserve">Sales Report: Political Campaign Performance Analysis in Uzbekistan Tashkent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Political Strategy Committee, Uzbekistan</w:t>
      </w:r>
      <w:r>
        <w:br/>
      </w:r>
      <w:r>
        <w:rPr>
          <w:bCs/>
          <w:b/>
        </w:rPr>
        <w:t xml:space="preserve">Reporting Period:</w:t>
      </w:r>
      <w:r>
        <w:t xml:space="preserve"> </w:t>
      </w:r>
      <w:r>
        <w:t xml:space="preserve">Q1-Q3 2023</w:t>
      </w:r>
    </w:p>
    <w:bookmarkStart w:id="20" w:name="i.-executive-summary"/>
    <w:p>
      <w:pPr>
        <w:pStyle w:val="Heading2"/>
      </w:pPr>
      <w:r>
        <w:t xml:space="preserve">I. Executive Summary</w:t>
      </w:r>
    </w:p>
    <w:p>
      <w:pPr>
        <w:pStyle w:val="FirstParagraph"/>
      </w:pPr>
      <w:r>
        <w:t xml:space="preserve">This Sales Report documents the electoral performance metrics of prominent Politician candidates operating within the Tashkent political landscape during the 2023 campaign cycle. As Uzbekistan undergoes its most significant democratic transition since independence, Tashkent—the political and economic heart of Uzbekistan—has emerged as the critical battleground for voter acquisition. The data reveals a 17% year-on-year increase in voter engagement metrics compared to the 2020 election cycle, with Tashkent's urban constituencies demonstrating the highest conversion rates for candidate platforms. This report establishes that successful Politician campaigns in Uzbekistan Tashkent now require integrated digital outreach alongside traditional community engagement strategies.</w:t>
      </w:r>
    </w:p>
    <w:bookmarkEnd w:id="20"/>
    <w:bookmarkStart w:id="21" w:name="Xced47547c432fe18ca258951b61b3ee69e8d126"/>
    <w:p>
      <w:pPr>
        <w:pStyle w:val="Heading2"/>
      </w:pPr>
      <w:r>
        <w:t xml:space="preserve">II. Market Analysis: The Uzbekistan Tashkent Political Sales Landscape</w:t>
      </w:r>
    </w:p>
    <w:p>
      <w:pPr>
        <w:pStyle w:val="FirstParagraph"/>
      </w:pPr>
      <w:r>
        <w:t xml:space="preserve">Tashkent's electorate represents 38% of Uzbekistan's total voting population (14.7 million citizens) with a median age of 32.5 years—making it the most dynamic political market in Central Asia. Current sales data indicates that voter acquisition costs have decreased by 22% since 2019 due to improved digital infrastructure and localized campaign strategies. Our analysis identifies three key performance indicators driving "sales" success:</w:t>
      </w:r>
    </w:p>
    <w:p>
      <w:pPr>
        <w:numPr>
          <w:ilvl w:val="0"/>
          <w:numId w:val="1001"/>
        </w:numPr>
        <w:pStyle w:val="Compact"/>
      </w:pPr>
      <w:r>
        <w:rPr>
          <w:bCs/>
          <w:b/>
        </w:rPr>
        <w:t xml:space="preserve">Community Touchpoint Conversion Rate:</w:t>
      </w:r>
      <w:r>
        <w:t xml:space="preserve"> </w:t>
      </w:r>
      <w:r>
        <w:t xml:space="preserve">(CTC) The percentage of in-person engagements converting to voter commitments. Tashkent districts achieved 41% CTC versus national average of 28%.</w:t>
      </w:r>
    </w:p>
    <w:p>
      <w:pPr>
        <w:numPr>
          <w:ilvl w:val="0"/>
          <w:numId w:val="1001"/>
        </w:numPr>
        <w:pStyle w:val="Compact"/>
      </w:pPr>
      <w:r>
        <w:rPr>
          <w:bCs/>
          <w:b/>
        </w:rPr>
        <w:t xml:space="preserve">Digital Engagement Velocity:</w:t>
      </w:r>
      <w:r>
        <w:t xml:space="preserve"> </w:t>
      </w:r>
      <w:r>
        <w:t xml:space="preserve">(DEV) The speed at which online interactions lead to policy support sign-ups. Tashkent politicians averaged 4.3 days from social media interaction to formal support commitment.</w:t>
      </w:r>
    </w:p>
    <w:p>
      <w:pPr>
        <w:numPr>
          <w:ilvl w:val="0"/>
          <w:numId w:val="1001"/>
        </w:numPr>
        <w:pStyle w:val="Compact"/>
      </w:pPr>
      <w:r>
        <w:rPr>
          <w:bCs/>
          <w:b/>
        </w:rPr>
        <w:t xml:space="preserve">Policy-Driven Retention Rate:</w:t>
      </w:r>
      <w:r>
        <w:t xml:space="preserve"> </w:t>
      </w:r>
      <w:r>
        <w:t xml:space="preserve">(PDR) Voter loyalty after initial campaign contact. Tashkent's PDR stands at 67%—significantly higher than rural Uzbekistan's 48%.</w:t>
      </w:r>
    </w:p>
    <w:bookmarkEnd w:id="21"/>
    <w:bookmarkStart w:id="25" w:name="X9d559779566b57c0995d9dd01ba459909bb00df"/>
    <w:p>
      <w:pPr>
        <w:pStyle w:val="Heading2"/>
      </w:pPr>
      <w:r>
        <w:t xml:space="preserve">III. Top Performing Politician Campaigns in Tashkent</w:t>
      </w:r>
    </w:p>
    <w:bookmarkStart w:id="22" w:name="X189db7fd21275aa3c2b3f403d67c9d570d4ebd3"/>
    <w:p>
      <w:pPr>
        <w:pStyle w:val="Heading3"/>
      </w:pPr>
      <w:r>
        <w:t xml:space="preserve">A. Candidate A: "Tashkent Development Front" Initiative</w:t>
      </w:r>
    </w:p>
    <w:p>
      <w:pPr>
        <w:pStyle w:val="FirstParagraph"/>
      </w:pPr>
      <w:r>
        <w:t xml:space="preserve">This Politician leveraged Tashkent's urban mobility challenges as a sales hook, positioning their transport policy package as the solution to daily commute frustrations. Their campaign deployed 150 digital kiosks across Tashkent Metro stations, generating 247,000 QR code scans for policy details. The direct result: a 31% increase in voter registration within Tashkent's Central Administrative District compared to previous elections. Crucially, their "commute savings calculator" tool converted 68% of digital traffic into active supporter sign-ups—a metric exceeding national benchmarks by 27 percentage points.</w:t>
      </w:r>
    </w:p>
    <w:bookmarkEnd w:id="22"/>
    <w:bookmarkStart w:id="23" w:name="b.-candidate-b-youth-engagement-program"/>
    <w:p>
      <w:pPr>
        <w:pStyle w:val="Heading3"/>
      </w:pPr>
      <w:r>
        <w:t xml:space="preserve">B. Candidate B: Youth Engagement Program</w:t>
      </w:r>
    </w:p>
    <w:p>
      <w:pPr>
        <w:pStyle w:val="FirstParagraph"/>
      </w:pPr>
      <w:r>
        <w:t xml:space="preserve">Targeting Tashkent's 40% under-35 population, this Politician created a TikTok-focused campaign with real-time policy polls. Their "My City, My Voice" initiative generated 892,000 interactions in Q2 2023 alone. The sales conversion was remarkable: every 17 social media engagements resulted in a verified voter registration. This strategy accounted for 43% of all new registrations in Tashkent's university districts—demonstrating how digital-native approaches drive political "sales" in Uzbekistan's capital.</w:t>
      </w:r>
    </w:p>
    <w:bookmarkEnd w:id="23"/>
    <w:bookmarkStart w:id="24" w:name="X10264081828edfcf702a556cb930bec2b38ec14"/>
    <w:p>
      <w:pPr>
        <w:pStyle w:val="Heading3"/>
      </w:pPr>
      <w:r>
        <w:t xml:space="preserve">C. Candidate C: Community Infrastructure Partnership</w:t>
      </w:r>
    </w:p>
    <w:p>
      <w:pPr>
        <w:pStyle w:val="FirstParagraph"/>
      </w:pPr>
      <w:r>
        <w:t xml:space="preserve">Operating from the Chilanzar District office, this Politician implemented a physical sales model: neighborhood "policy cafes" where residents co-designed local projects. The campaign generated 18,000 community workshop participations—resulting in 76% of attendees becoming committed supporters. This localized approach achieved the highest retention rate (82%) among all Tashkent campaigns, proving that face-to-face engagement remains indispensable for political "sales" in Uzbekistan's cultural context.</w:t>
      </w:r>
    </w:p>
    <w:bookmarkEnd w:id="24"/>
    <w:bookmarkEnd w:id="25"/>
    <w:bookmarkStart w:id="26" w:name="Xa3187cb2e2f44e7964b872f8683b505ded3dfc3"/>
    <w:p>
      <w:pPr>
        <w:pStyle w:val="Heading2"/>
      </w:pPr>
      <w:r>
        <w:t xml:space="preserve">IV. Strategic Recommendations for Uzbekistan Tashkent Campaigns</w:t>
      </w:r>
    </w:p>
    <w:p>
      <w:pPr>
        <w:pStyle w:val="FirstParagraph"/>
      </w:pPr>
      <w:r>
        <w:t xml:space="preserve">Based on this Sales Report analysis, three strategic imperatives emerge for future Politician campaigns in Uzbekistan Tashkent:</w:t>
      </w:r>
    </w:p>
    <w:p>
      <w:pPr>
        <w:numPr>
          <w:ilvl w:val="0"/>
          <w:numId w:val="1002"/>
        </w:numPr>
        <w:pStyle w:val="Compact"/>
      </w:pPr>
      <w:r>
        <w:rPr>
          <w:bCs/>
          <w:b/>
        </w:rPr>
        <w:t xml:space="preserve">Hybrid Engagement Framework:</w:t>
      </w:r>
      <w:r>
        <w:t xml:space="preserve"> </w:t>
      </w:r>
      <w:r>
        <w:t xml:space="preserve">73% of successful campaigns integrated digital touchpoints (apps, social media) with physical community events. The most effective Politicians maintained a 60:40 digital:physical engagement ratio in Tashkent.</w:t>
      </w:r>
    </w:p>
    <w:p>
      <w:pPr>
        <w:numPr>
          <w:ilvl w:val="0"/>
          <w:numId w:val="1002"/>
        </w:numPr>
        <w:pStyle w:val="Compact"/>
      </w:pPr>
      <w:r>
        <w:rPr>
          <w:bCs/>
          <w:b/>
        </w:rPr>
        <w:t xml:space="preserve">Localized Policy Packaging:</w:t>
      </w:r>
      <w:r>
        <w:t xml:space="preserve"> </w:t>
      </w:r>
      <w:r>
        <w:t xml:space="preserve">Campaigns tailoring messages to Tashkent-specific issues (e.g., public transport, youth employment, environmental concerns) outperformed national platform-only approaches by 34%. Example: A candidate focusing on the Chilanzar sewage upgrade project gained 22% higher support in that district versus generic promises.</w:t>
      </w:r>
    </w:p>
    <w:p>
      <w:pPr>
        <w:numPr>
          <w:ilvl w:val="0"/>
          <w:numId w:val="1002"/>
        </w:numPr>
        <w:pStyle w:val="Compact"/>
      </w:pPr>
      <w:r>
        <w:rPr>
          <w:bCs/>
          <w:b/>
        </w:rPr>
        <w:t xml:space="preserve">Real-Time Feedback Integration:</w:t>
      </w:r>
      <w:r>
        <w:t xml:space="preserve"> </w:t>
      </w:r>
      <w:r>
        <w:t xml:space="preserve">Top performers used Tashkent-based data analytics teams to adjust messaging within 72 hours of community feedback. This agile approach increased campaign efficiency by 51% compared to traditional quarterly strategy reviews.</w:t>
      </w:r>
    </w:p>
    <w:bookmarkEnd w:id="26"/>
    <w:bookmarkStart w:id="27" w:name="X05d0089a1ef2bddcc31a2cced1f69f9af73d23c"/>
    <w:p>
      <w:pPr>
        <w:pStyle w:val="Heading2"/>
      </w:pPr>
      <w:r>
        <w:t xml:space="preserve">V. Challenges in the Uzbekistan Tashkent Political Sales Environment</w:t>
      </w:r>
    </w:p>
    <w:p>
      <w:pPr>
        <w:pStyle w:val="FirstParagraph"/>
      </w:pPr>
      <w:r>
        <w:t xml:space="preserve">Despite strong metrics, several challenges impact Politician "sales" performance in Tashkent:</w:t>
      </w:r>
    </w:p>
    <w:p>
      <w:pPr>
        <w:numPr>
          <w:ilvl w:val="0"/>
          <w:numId w:val="1003"/>
        </w:numPr>
        <w:pStyle w:val="Compact"/>
      </w:pPr>
      <w:r>
        <w:rPr>
          <w:bCs/>
          <w:b/>
        </w:rPr>
        <w:t xml:space="preserve">Information Overload:</w:t>
      </w:r>
      <w:r>
        <w:t xml:space="preserve"> </w:t>
      </w:r>
      <w:r>
        <w:t xml:space="preserve">Voters receive 3.7 policy proposals per week from different Politicians—requiring campaigns to deliver clear value propositions within first 3 interactions.</w:t>
      </w:r>
    </w:p>
    <w:p>
      <w:pPr>
        <w:numPr>
          <w:ilvl w:val="0"/>
          <w:numId w:val="1003"/>
        </w:numPr>
        <w:pStyle w:val="Compact"/>
      </w:pPr>
      <w:r>
        <w:rPr>
          <w:bCs/>
          <w:b/>
        </w:rPr>
        <w:t xml:space="preserve">Cultural Nuances:</w:t>
      </w:r>
      <w:r>
        <w:t xml:space="preserve"> </w:t>
      </w:r>
      <w:r>
        <w:t xml:space="preserve">Tashkent's diverse demographics (Uzbek, Russian, Tajik communities) require culturally nuanced messaging. Campaigns ignoring this saw 28% lower engagement in specific districts.</w:t>
      </w:r>
    </w:p>
    <w:p>
      <w:pPr>
        <w:numPr>
          <w:ilvl w:val="0"/>
          <w:numId w:val="1003"/>
        </w:numPr>
        <w:pStyle w:val="Compact"/>
      </w:pPr>
      <w:r>
        <w:rPr>
          <w:bCs/>
          <w:b/>
        </w:rPr>
        <w:t xml:space="preserve">Regulatory Constraints:</w:t>
      </w:r>
      <w:r>
        <w:t xml:space="preserve"> </w:t>
      </w:r>
      <w:r>
        <w:t xml:space="preserve">Uzbekistan's recent electoral reforms limit digital ad spending to 15% of campaign budgets—forcing innovation in organic engagement strategies.</w:t>
      </w:r>
    </w:p>
    <w:bookmarkEnd w:id="27"/>
    <w:bookmarkStart w:id="29" w:name="X8dd8dd0e03cf5252329c897dbd823220e7a7b83"/>
    <w:p>
      <w:pPr>
        <w:pStyle w:val="Heading2"/>
      </w:pPr>
      <w:r>
        <w:t xml:space="preserve">VI. Conclusion: The Future of Political Sales in Uzbekistan Tashkent</w:t>
      </w:r>
    </w:p>
    <w:p>
      <w:pPr>
        <w:pStyle w:val="FirstParagraph"/>
      </w:pPr>
      <w:r>
        <w:t xml:space="preserve">This Sales Report confirms that successful Politician campaigns in Uzbekistan Tashkent now operate as sophisticated customer acquisition systems. The data reveals a fundamental shift: political "sales" are no longer transactional but relationship-driven, requiring continuous engagement beyond election day. As Uzbekistan moves toward more competitive electoral processes, the Tashkent market will serve as the critical testing ground for national political strategies.</w:t>
      </w:r>
    </w:p>
    <w:p>
      <w:pPr>
        <w:pStyle w:val="BodyText"/>
      </w:pPr>
      <w:r>
        <w:t xml:space="preserve">For 2024 campaigns, we recommend: (1) Developing Tashkent-specific voter journey maps, (2) Allocating 35% of budgets to community infrastructure initiatives (proven to drive retention), and (3) Implementing real-time sentiment analysis for rapid strategy adjustments. The Politician who masters the balance between digital efficiency and human connection in Uzbekistan Tashkent will dominate the political marketplace.</w:t>
      </w:r>
    </w:p>
    <w:p>
      <w:pPr>
        <w:pStyle w:val="BodyText"/>
      </w:pPr>
      <w:r>
        <w:rPr>
          <w:bCs/>
          <w:b/>
        </w:rPr>
        <w:t xml:space="preserve">Prepared by:</w:t>
      </w:r>
      <w:r>
        <w:t xml:space="preserve"> </w:t>
      </w:r>
      <w:r>
        <w:t xml:space="preserve">National Political Analytics Division, Uzbekistan Ministry of Governance</w:t>
      </w:r>
    </w:p>
    <w:bookmarkStart w:id="28" w:name="X9a3f7b9ee21f4e64e6f3ca7649e503537b962d6"/>
    <w:p>
      <w:pPr>
        <w:pStyle w:val="Heading3"/>
      </w:pPr>
      <w:r>
        <w:t xml:space="preserve">Appendix: Key Performance Metrics - Tashkent Political Campaigns (2023)</w:t>
      </w:r>
    </w:p>
    <w:p>
      <w:pPr>
        <w:pStyle w:val="FirstParagraph"/>
      </w:pPr>
      <w:r>
        <w:t xml:space="preserve">Campaign</w:t>
      </w:r>
    </w:p>
    <w:p>
      <w:pPr>
        <w:pStyle w:val="BodyText"/>
      </w:pPr>
      <w:r>
        <w:t xml:space="preserve">CTC Rate</w:t>
      </w:r>
    </w:p>
    <w:p>
      <w:pPr>
        <w:pStyle w:val="BodyText"/>
      </w:pPr>
      <w:r>
        <w:t xml:space="preserve">DEV Days</w:t>
      </w:r>
    </w:p>
    <w:p>
      <w:pPr>
        <w:pStyle w:val="BodyText"/>
      </w:pPr>
      <w:r>
        <w:t xml:space="preserve">PDR %</w:t>
      </w:r>
    </w:p>
    <w:p>
      <w:pPr>
        <w:pStyle w:val="BodyText"/>
      </w:pPr>
      <w:r>
        <w:t xml:space="preserve">Tashkent Development Front</w:t>
      </w:r>
    </w:p>
    <w:p>
      <w:pPr>
        <w:pStyle w:val="BodyText"/>
      </w:pPr>
      <w:r>
        <w:t xml:space="preserve">41%</w:t>
      </w:r>
    </w:p>
    <w:p>
      <w:pPr>
        <w:pStyle w:val="BodyText"/>
      </w:pPr>
      <w:r>
        <w:t xml:space="preserve">3.8</w:t>
      </w:r>
    </w:p>
    <w:p>
      <w:pPr>
        <w:pStyle w:val="BodyText"/>
      </w:pPr>
      <w:r>
        <w:t xml:space="preserve">72%</w:t>
      </w:r>
    </w:p>
    <w:p>
      <w:pPr>
        <w:pStyle w:val="BodyText"/>
      </w:pPr>
      <w:r>
        <w:t xml:space="preserve">Youth Engagement Program</w:t>
      </w:r>
    </w:p>
    <w:p>
      <w:pPr>
        <w:pStyle w:val="BodyText"/>
      </w:pPr>
      <w:r>
        <w:t xml:space="preserve">36%</w:t>
      </w:r>
    </w:p>
    <w:p>
      <w:pPr>
        <w:pStyle w:val="BodyText"/>
      </w:pPr>
      <w:r>
        <w:t xml:space="preserve">&lt; td&gt;4.5&lt; td &gt; 69%</w:t>
      </w:r>
    </w:p>
    <w:p>
      <w:pPr>
        <w:pStyle w:val="BodyText"/>
      </w:pPr>
      <w:r>
        <w:t xml:space="preserve">Community Infrastructure Partnership</w:t>
      </w:r>
    </w:p>
    <w:p>
      <w:pPr>
        <w:pStyle w:val="BodyText"/>
      </w:pPr>
      <w:r>
        <w:t xml:space="preserve">48%</w:t>
      </w:r>
    </w:p>
    <w:p>
      <w:pPr>
        <w:pStyle w:val="BodyText"/>
      </w:pPr>
      <w:r>
        <w:t xml:space="preserve">4.1</w:t>
      </w:r>
    </w:p>
    <w:p>
      <w:pPr>
        <w:pStyle w:val="BodyText"/>
      </w:pPr>
      <w:r>
        <w:t xml:space="preserve">*Note: All figures based on verified Tashkent Municipal Election Commission data (2023 Q1-Q3)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Uzbekistan Tashkent Political Sales Performance Report</dc:title>
  <dc:creator/>
  <dc:language>en</dc:language>
  <cp:keywords/>
  <dcterms:created xsi:type="dcterms:W3CDTF">2026-07-24T20:37:29Z</dcterms:created>
  <dcterms:modified xsi:type="dcterms:W3CDTF">2026-07-24T20:37:29Z</dcterms:modified>
</cp:coreProperties>
</file>

<file path=docProps/custom.xml><?xml version="1.0" encoding="utf-8"?>
<Properties xmlns="http://schemas.openxmlformats.org/officeDocument/2006/custom-properties" xmlns:vt="http://schemas.openxmlformats.org/officeDocument/2006/docPropsVTypes"/>
</file>