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t>
      </w:r>
      <w:r>
        <w:t xml:space="preserve"> </w:t>
      </w:r>
      <w:r>
        <w:t xml:space="preserve">Chi</w:t>
      </w:r>
      <w:r>
        <w:t xml:space="preserve"> </w:t>
      </w:r>
      <w:r>
        <w:t xml:space="preserve">Minh</w:t>
      </w:r>
      <w:r>
        <w:t xml:space="preserve"> </w:t>
      </w:r>
      <w:r>
        <w:t xml:space="preserve">City</w:t>
      </w:r>
      <w:r>
        <w:t xml:space="preserve"> </w:t>
      </w:r>
      <w:r>
        <w:t xml:space="preserve">Political</w:t>
      </w:r>
      <w:r>
        <w:t xml:space="preserve"> </w:t>
      </w:r>
      <w:r>
        <w:t xml:space="preserve">Sales</w:t>
      </w:r>
      <w:r>
        <w:t xml:space="preserve"> </w:t>
      </w:r>
      <w:r>
        <w:t xml:space="preserve">Performance</w:t>
      </w:r>
      <w:r>
        <w:t xml:space="preserve"> </w:t>
      </w:r>
      <w:r>
        <w:t xml:space="preserve">Report</w:t>
      </w:r>
    </w:p>
    <w:bookmarkStart w:id="31" w:name="X414f0c69669b053ab3c5d271e20b199d620aa08"/>
    <w:p>
      <w:pPr>
        <w:pStyle w:val="Heading1"/>
      </w:pPr>
      <w:r>
        <w:t xml:space="preserve">HO CHI MINH CITY POLITICAL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 Chi Minh City People's Committee &amp; National Political Leadership</w:t>
      </w:r>
      <w:r>
        <w:br/>
      </w:r>
      <w:r>
        <w:rPr>
          <w:bCs/>
          <w:b/>
        </w:rPr>
        <w:t xml:space="preserve">Prepared By:</w:t>
      </w:r>
      <w:r>
        <w:t xml:space="preserve"> </w:t>
      </w:r>
      <w:r>
        <w:t xml:space="preserve">Strategic Policy Analysis Division, Vietnam Political Market Intelligence Bureau</w:t>
      </w:r>
    </w:p>
    <w:bookmarkStart w:id="20" w:name="i.-executive-summary"/>
    <w:p>
      <w:pPr>
        <w:pStyle w:val="Heading2"/>
      </w:pPr>
      <w:r>
        <w:t xml:space="preserve">I. Executive Summary</w:t>
      </w:r>
    </w:p>
    <w:p>
      <w:pPr>
        <w:pStyle w:val="FirstParagraph"/>
      </w:pPr>
      <w:r>
        <w:t xml:space="preserve">This quarterly sales performance report analyzes the political market engagement of key officials within Ho Chi Minh City's administration. Unlike traditional commercial products, our "sales" metric evaluates policy adoption rates, public satisfaction scores (PSS), and community project implementation velocity as core performance indicators. During Q3 2023, Ho Chi Minh City demonstrated a remarkable 18% year-over-year increase in political sales conversion rates—significantly outperforming national averages. This growth was driven by targeted policy "product" launches aligned with the city's unique urban economic landscape, proving that effective political leadership functions as a high-value service product in Vietnam's most dynamic market.</w:t>
      </w:r>
    </w:p>
    <w:bookmarkEnd w:id="20"/>
    <w:bookmarkStart w:id="21" w:name="X63edb7bb5146b427a5577674c1488ac8b9f5be8"/>
    <w:p>
      <w:pPr>
        <w:pStyle w:val="Heading2"/>
      </w:pPr>
      <w:r>
        <w:t xml:space="preserve">II. Market Context: Ho Chi Minh City Political Sales Environment</w:t>
      </w:r>
    </w:p>
    <w:p>
      <w:pPr>
        <w:pStyle w:val="FirstParagraph"/>
      </w:pPr>
      <w:r>
        <w:t xml:space="preserve">Ho Chi Minh City (HCMC) represents Vietnam's largest and most complex political sales territory, encompassing 8 million residents, 45% of the nation's GDP, and a highly diversified economic ecosystem. Our market analysis reveals three critical segments:</w:t>
      </w:r>
    </w:p>
    <w:p>
      <w:pPr>
        <w:numPr>
          <w:ilvl w:val="0"/>
          <w:numId w:val="1001"/>
        </w:numPr>
        <w:pStyle w:val="Compact"/>
      </w:pPr>
      <w:r>
        <w:rPr>
          <w:bCs/>
          <w:b/>
        </w:rPr>
        <w:t xml:space="preserve">Urban Professionals (42%):</w:t>
      </w:r>
      <w:r>
        <w:t xml:space="preserve"> </w:t>
      </w:r>
      <w:r>
        <w:t xml:space="preserve">Primary buyers seeking infrastructure upgrades and business-friendly policies</w:t>
      </w:r>
    </w:p>
    <w:p>
      <w:pPr>
        <w:numPr>
          <w:ilvl w:val="0"/>
          <w:numId w:val="1001"/>
        </w:numPr>
        <w:pStyle w:val="Compact"/>
      </w:pPr>
      <w:r>
        <w:rPr>
          <w:bCs/>
          <w:b/>
        </w:rPr>
        <w:t xml:space="preserve">Rural-Adjacent Communities (31%):</w:t>
      </w:r>
      <w:r>
        <w:t xml:space="preserve"> </w:t>
      </w:r>
      <w:r>
        <w:t xml:space="preserve">Key focus for agricultural support and housing projects</w:t>
      </w:r>
    </w:p>
    <w:p>
      <w:pPr>
        <w:numPr>
          <w:ilvl w:val="0"/>
          <w:numId w:val="1001"/>
        </w:numPr>
        <w:pStyle w:val="Compact"/>
      </w:pPr>
      <w:r>
        <w:rPr>
          <w:bCs/>
          <w:b/>
        </w:rPr>
        <w:t xml:space="preserve">Youth Demographic (27%):</w:t>
      </w:r>
      <w:r>
        <w:t xml:space="preserve"> </w:t>
      </w:r>
      <w:r>
        <w:t xml:space="preserve">High-potential market requiring digital governance solutions</w:t>
      </w:r>
    </w:p>
    <w:p>
      <w:pPr>
        <w:pStyle w:val="FirstParagraph"/>
      </w:pPr>
      <w:r>
        <w:t xml:space="preserve">The political sales landscape here is exceptionally competitive with a 37% voter churn rate—the highest in Vietnam—demanding continuous product innovation and exceptional after-sales service (community engagement).</w:t>
      </w:r>
    </w:p>
    <w:bookmarkEnd w:id="21"/>
    <w:bookmarkStart w:id="23" w:name="Xc3cb47417687822196bf2c35b155a82b9a204fa"/>
    <w:p>
      <w:pPr>
        <w:pStyle w:val="Heading2"/>
      </w:pPr>
      <w:r>
        <w:t xml:space="preserve">III. Key Political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Voter Satisfaction Score (PSS)</w:t>
            </w:r>
          </w:p>
        </w:tc>
        <w:tc>
          <w:tcPr/>
          <w:p>
            <w:pPr>
              <w:pStyle w:val="Compact"/>
              <w:jc w:val="left"/>
            </w:pPr>
            <w:r>
              <w:t xml:space="preserve">86.4%</w:t>
            </w:r>
          </w:p>
        </w:tc>
        <w:tc>
          <w:tcPr/>
          <w:p>
            <w:pPr>
              <w:pStyle w:val="Compact"/>
              <w:jc w:val="left"/>
            </w:pPr>
            <w:r>
              <w:t xml:space="preserve">79.1%</w:t>
            </w:r>
          </w:p>
        </w:tc>
        <w:tc>
          <w:tcPr/>
          <w:p>
            <w:pPr>
              <w:pStyle w:val="Compact"/>
              <w:jc w:val="left"/>
            </w:pPr>
            <w:r>
              <w:t xml:space="preserve">+7.3 pts</w:t>
            </w:r>
          </w:p>
        </w:tc>
      </w:tr>
      <w:tr>
        <w:tc>
          <w:tcPr/>
          <w:p>
            <w:pPr>
              <w:pStyle w:val="Compact"/>
              <w:jc w:val="left"/>
            </w:pPr>
            <w:r>
              <w:t xml:space="preserve">Policy Implementation Velocity</w:t>
            </w:r>
          </w:p>
        </w:tc>
        <w:tc>
          <w:tcPr/>
          <w:p>
            <w:pPr>
              <w:pStyle w:val="Compact"/>
              <w:jc w:val="left"/>
            </w:pPr>
            <w:r>
              <w:t xml:space="preserve">22 days avg.</w:t>
            </w:r>
          </w:p>
        </w:tc>
        <w:tc>
          <w:tcPr/>
          <w:p>
            <w:pPr>
              <w:pStyle w:val="Compact"/>
              <w:jc w:val="left"/>
            </w:pPr>
            <w:r>
              <w:t xml:space="preserve">28 days avg.</w:t>
            </w:r>
          </w:p>
        </w:tc>
        <w:tc>
          <w:tcPr/>
          <w:p>
            <w:pPr>
              <w:pStyle w:val="Compact"/>
              <w:jc w:val="left"/>
            </w:pPr>
            <w:r>
              <w:t xml:space="preserve">-21% faster</w:t>
            </w:r>
          </w:p>
        </w:tc>
      </w:tr>
      <w:tr>
        <w:tc>
          <w:tcPr/>
          <w:p>
            <w:pPr>
              <w:pStyle w:val="Compact"/>
              <w:jc w:val="left"/>
            </w:pPr>
            <w:r>
              <w:t xml:space="preserve">Community Project Completion Rate</w:t>
            </w:r>
          </w:p>
        </w:tc>
        <w:tc>
          <w:tcPr/>
          <w:p>
            <w:pPr>
              <w:pStyle w:val="Compact"/>
              <w:jc w:val="left"/>
            </w:pPr>
            <w:r>
              <w:t xml:space="preserve">94%</w:t>
            </w:r>
          </w:p>
        </w:tc>
        <w:tc>
          <w:tcPr/>
          <w:p>
            <w:pPr>
              <w:pStyle w:val="Compact"/>
              <w:jc w:val="left"/>
            </w:pPr>
            <w:r>
              <w:t xml:space="preserve">83%</w:t>
            </w:r>
          </w:p>
        </w:tc>
        <w:tc>
          <w:tcPr/>
          <w:p>
            <w:pPr>
              <w:pStyle w:val="Compact"/>
              <w:jc w:val="left"/>
            </w:pPr>
            <w:r>
              <w:t xml:space="preserve">+11 pts</w:t>
            </w:r>
          </w:p>
        </w:tc>
      </w:tr>
      <w:tr>
        <w:tc>
          <w:tcPr/>
          <w:p>
            <w:pPr>
              <w:pStyle w:val="Compact"/>
              <w:jc w:val="left"/>
            </w:pPr>
            <w:r>
              <w:t xml:space="preserve">Social Media Engagement (Govt. Channels)</w:t>
            </w:r>
          </w:p>
        </w:tc>
        <w:tc>
          <w:tcPr/>
          <w:p>
            <w:pPr>
              <w:pStyle w:val="Compact"/>
              <w:jc w:val="left"/>
            </w:pPr>
            <w:r>
              <w:t xml:space="preserve">42K avg. monthly interactions</w:t>
            </w:r>
          </w:p>
        </w:tc>
        <w:tc>
          <w:tcPr/>
          <w:p>
            <w:pPr>
              <w:pStyle w:val="Compact"/>
              <w:jc w:val="left"/>
            </w:pPr>
            <w:r>
              <w:t xml:space="preserve">28K avg.</w:t>
            </w:r>
          </w:p>
        </w:tc>
        <w:tc>
          <w:tcPr/>
          <w:p>
            <w:pPr>
              <w:pStyle w:val="Compact"/>
              <w:jc w:val="left"/>
            </w:pPr>
            <w:r>
              <w:t xml:space="preserve">+50% growth</w:t>
            </w:r>
          </w:p>
        </w:tc>
      </w:tr>
    </w:tbl>
    <w:bookmarkStart w:id="22" w:name="analysis"/>
    <w:p>
      <w:pPr>
        <w:pStyle w:val="Heading3"/>
      </w:pPr>
      <w:r>
        <w:t xml:space="preserve">Analysis:</w:t>
      </w:r>
    </w:p>
    <w:p>
      <w:pPr>
        <w:pStyle w:val="FirstParagraph"/>
      </w:pPr>
      <w:r>
        <w:t xml:space="preserve">The 18% YoY political sales growth stems from three strategic product launches directly addressing HCMC's most pressing pain points:</w:t>
      </w:r>
    </w:p>
    <w:p>
      <w:pPr>
        <w:numPr>
          <w:ilvl w:val="0"/>
          <w:numId w:val="1002"/>
        </w:numPr>
        <w:pStyle w:val="Compact"/>
      </w:pPr>
      <w:r>
        <w:rPr>
          <w:bCs/>
          <w:b/>
        </w:rPr>
        <w:t xml:space="preserve">"Smart District" Infrastructure Package (Launched July 2023):</w:t>
      </w:r>
      <w:r>
        <w:t xml:space="preserve"> </w:t>
      </w:r>
      <w:r>
        <w:t xml:space="preserve">Sold to urban professionals through data-driven ROI presentations. Achieved 89% adoption rate among commercial districts.</w:t>
      </w:r>
    </w:p>
    <w:p>
      <w:pPr>
        <w:numPr>
          <w:ilvl w:val="0"/>
          <w:numId w:val="1002"/>
        </w:numPr>
        <w:pStyle w:val="Compact"/>
      </w:pPr>
      <w:r>
        <w:rPr>
          <w:bCs/>
          <w:b/>
        </w:rPr>
        <w:t xml:space="preserve">Rural Modernization Initiative:</w:t>
      </w:r>
      <w:r>
        <w:t xml:space="preserve"> </w:t>
      </w:r>
      <w:r>
        <w:t xml:space="preserve">Targeted farmers' cooperatives with on-ground demonstrations. Secured 76% commitment from agricultural communities in Districts 12 and Binh Chanh.</w:t>
      </w:r>
    </w:p>
    <w:p>
      <w:pPr>
        <w:numPr>
          <w:ilvl w:val="0"/>
          <w:numId w:val="1002"/>
        </w:numPr>
        <w:pStyle w:val="Compact"/>
      </w:pPr>
      <w:r>
        <w:rPr>
          <w:bCs/>
          <w:b/>
        </w:rPr>
        <w:t xml:space="preserve">Young Talent Digital Portal:</w:t>
      </w:r>
      <w:r>
        <w:t xml:space="preserve"> </w:t>
      </w:r>
      <w:r>
        <w:t xml:space="preserve">Launched as a mobile-first service, generating 34K new user sign-ups in Q3 alone—exceeding sales targets by 205%.</w:t>
      </w:r>
    </w:p>
    <w:bookmarkEnd w:id="22"/>
    <w:bookmarkEnd w:id="23"/>
    <w:bookmarkStart w:id="24" w:name="iv.-sales-strategy-effectiveness"/>
    <w:p>
      <w:pPr>
        <w:pStyle w:val="Heading2"/>
      </w:pPr>
      <w:r>
        <w:t xml:space="preserve">IV. Sales Strategy Effectiveness</w:t>
      </w:r>
    </w:p>
    <w:p>
      <w:pPr>
        <w:pStyle w:val="FirstParagraph"/>
      </w:pPr>
      <w:r>
        <w:t xml:space="preserve">HCMC's political leadership adopted a hybrid sales model blending traditional community outreach with digital engagement:</w:t>
      </w:r>
    </w:p>
    <w:p>
      <w:pPr>
        <w:numPr>
          <w:ilvl w:val="0"/>
          <w:numId w:val="1003"/>
        </w:numPr>
        <w:pStyle w:val="Compact"/>
      </w:pPr>
      <w:r>
        <w:rPr>
          <w:bCs/>
          <w:b/>
        </w:rPr>
        <w:t xml:space="preserve">Face-to-Face "Solution Clinics":</w:t>
      </w:r>
      <w:r>
        <w:t xml:space="preserve"> </w:t>
      </w:r>
      <w:r>
        <w:t xml:space="preserve">148 neighborhood meetings conducted citywide, directly addressing policy concerns. This generated a 33% increase in qualified voter leads.</w:t>
      </w:r>
    </w:p>
    <w:p>
      <w:pPr>
        <w:numPr>
          <w:ilvl w:val="0"/>
          <w:numId w:val="1003"/>
        </w:numPr>
        <w:pStyle w:val="Compact"/>
      </w:pPr>
      <w:r>
        <w:rPr>
          <w:bCs/>
          <w:b/>
        </w:rPr>
        <w:t xml:space="preserve">Digital Sales Enablement:</w:t>
      </w:r>
      <w:r>
        <w:t xml:space="preserve"> </w:t>
      </w:r>
      <w:r>
        <w:t xml:space="preserve">Government app integration reduced policy query resolution time by 67%, transforming the "after-sales support" experience.</w:t>
      </w:r>
    </w:p>
    <w:p>
      <w:pPr>
        <w:numPr>
          <w:ilvl w:val="0"/>
          <w:numId w:val="1003"/>
        </w:numPr>
        <w:pStyle w:val="Compact"/>
      </w:pPr>
      <w:r>
        <w:rPr>
          <w:bCs/>
          <w:b/>
        </w:rPr>
        <w:t xml:space="preserve">Product Bundling:</w:t>
      </w:r>
      <w:r>
        <w:t xml:space="preserve"> </w:t>
      </w:r>
      <w:r>
        <w:t xml:space="preserve">Combining infrastructure projects with small business grants created high-value offerings (e.g., "Riverside Business Zones" package increased local enterprise registrations by 41%).</w:t>
      </w:r>
    </w:p>
    <w:bookmarkEnd w:id="24"/>
    <w:bookmarkStart w:id="25" w:name="X204b647e85710ab3be940a948a97be2473c00d5"/>
    <w:p>
      <w:pPr>
        <w:pStyle w:val="Heading2"/>
      </w:pPr>
      <w:r>
        <w:t xml:space="preserve">V. Competitive Analysis: Political Sales Landscape</w:t>
      </w:r>
    </w:p>
    <w:p>
      <w:pPr>
        <w:pStyle w:val="FirstParagraph"/>
      </w:pPr>
      <w:r>
        <w:t xml:space="preserve">Comparing HCMC's political sales performance against other major Vietnamese cities:</w:t>
      </w:r>
    </w:p>
    <w:p>
      <w:pPr>
        <w:pStyle w:val="BodyText"/>
      </w:pPr>
      <w:r>
        <w:t xml:space="preserve">City</w:t>
      </w:r>
    </w:p>
    <w:p>
      <w:pPr>
        <w:pStyle w:val="BodyText"/>
      </w:pPr>
      <w:r>
        <w:t xml:space="preserve">PSS (Q3)</w:t>
      </w:r>
    </w:p>
    <w:p>
      <w:pPr>
        <w:pStyle w:val="BodyText"/>
      </w:pPr>
      <w:r>
        <w:t xml:space="preserve">Policy Velocity (days)</w:t>
      </w:r>
    </w:p>
    <w:p>
      <w:pPr>
        <w:pStyle w:val="BodyText"/>
      </w:pPr>
      <w:r>
        <w:t xml:space="preserve">Key Differentiator</w:t>
      </w:r>
    </w:p>
    <w:p>
      <w:pPr>
        <w:pStyle w:val="BodyText"/>
      </w:pPr>
      <w:r>
        <w:t xml:space="preserve">Ho Chi Minh City</w:t>
      </w:r>
    </w:p>
    <w:p>
      <w:pPr>
        <w:pStyle w:val="BodyText"/>
      </w:pPr>
      <w:r>
        <w:t xml:space="preserve">86.4%</w:t>
      </w:r>
    </w:p>
    <w:p>
      <w:pPr>
        <w:pStyle w:val="BodyText"/>
      </w:pPr>
      <w:r>
        <w:t xml:space="preserve">22</w:t>
      </w:r>
    </w:p>
    <w:p>
      <w:pPr>
        <w:pStyle w:val="BodyText"/>
      </w:pPr>
      <w:r>
        <w:t xml:space="preserve">Digital-first policy delivery</w:t>
      </w:r>
    </w:p>
    <w:p>
      <w:pPr>
        <w:pStyle w:val="BodyText"/>
      </w:pPr>
      <w:r>
        <w:t xml:space="preserve">Hanoi</w:t>
      </w:r>
    </w:p>
    <w:p>
      <w:pPr>
        <w:pStyle w:val="BodyText"/>
      </w:pPr>
      <w:r>
        <w:t xml:space="preserve">78.1%</w:t>
      </w:r>
    </w:p>
    <w:p>
      <w:pPr>
        <w:pStyle w:val="BodyText"/>
      </w:pPr>
      <w:r>
        <w:t xml:space="preserve">31</w:t>
      </w:r>
    </w:p>
    <w:p>
      <w:pPr>
        <w:pStyle w:val="BodyText"/>
      </w:pPr>
      <w:r>
        <w:t xml:space="preserve">Larger-scale infrastructure focus</w:t>
      </w:r>
    </w:p>
    <w:p>
      <w:pPr>
        <w:pStyle w:val="BodyText"/>
      </w:pPr>
      <w:r>
        <w:t xml:space="preserve">DaNang</w:t>
      </w:r>
    </w:p>
    <w:p>
      <w:pPr>
        <w:pStyle w:val="BodyText"/>
      </w:pPr>
      <w:r>
        <w:t xml:space="preserve">82.7%</w:t>
      </w:r>
    </w:p>
    <w:p>
      <w:pPr>
        <w:pStyle w:val="BodyText"/>
      </w:pPr>
      <w:r>
        <w:t xml:space="preserve">26</w:t>
      </w:r>
    </w:p>
    <w:p>
      <w:pPr>
        <w:pStyle w:val="BodyText"/>
      </w:pPr>
      <w:r>
        <w:t xml:space="preserve">HCMC's sales advantage stems from hyper-localized policy "product" customization—recognizing that a "one-size-fits-all" political package fails in Vietnam's most diverse market.</w:t>
      </w:r>
    </w:p>
    <w:bookmarkEnd w:id="25"/>
    <w:bookmarkStart w:id="28" w:name="Xc9928e31c9ac524ac3f143b6086a7b1ecd907de"/>
    <w:p>
      <w:pPr>
        <w:pStyle w:val="Heading2"/>
      </w:pPr>
      <w:r>
        <w:t xml:space="preserve">VI. Critical Challenges &amp; Strategic Imperatives</w:t>
      </w:r>
    </w:p>
    <w:bookmarkStart w:id="26" w:name="current-sales-obstacles"/>
    <w:p>
      <w:pPr>
        <w:pStyle w:val="Heading3"/>
      </w:pPr>
      <w:r>
        <w:t xml:space="preserve">Current Sales Obstacles:</w:t>
      </w:r>
    </w:p>
    <w:p>
      <w:pPr>
        <w:numPr>
          <w:ilvl w:val="0"/>
          <w:numId w:val="1004"/>
        </w:numPr>
        <w:pStyle w:val="Compact"/>
      </w:pPr>
      <w:r>
        <w:rPr>
          <w:bCs/>
          <w:b/>
        </w:rPr>
        <w:t xml:space="preserve">Supply Chain Disruptions:</w:t>
      </w:r>
      <w:r>
        <w:t xml:space="preserve"> </w:t>
      </w:r>
      <w:r>
        <w:t xml:space="preserve">19% of infrastructure projects delayed due to construction material shortages (impacting Q4 sales forecasts)</w:t>
      </w:r>
    </w:p>
    <w:p>
      <w:pPr>
        <w:numPr>
          <w:ilvl w:val="0"/>
          <w:numId w:val="1004"/>
        </w:numPr>
        <w:pStyle w:val="Compact"/>
      </w:pPr>
      <w:r>
        <w:rPr>
          <w:bCs/>
          <w:b/>
        </w:rPr>
        <w:t xml:space="preserve">Competitive Product Cannibalization:</w:t>
      </w:r>
      <w:r>
        <w:t xml:space="preserve"> </w:t>
      </w:r>
      <w:r>
        <w:t xml:space="preserve">Rival political factions offering identical policies reduced our "product" uniqueness</w:t>
      </w:r>
    </w:p>
    <w:p>
      <w:pPr>
        <w:numPr>
          <w:ilvl w:val="0"/>
          <w:numId w:val="1004"/>
        </w:numPr>
        <w:pStyle w:val="Compact"/>
      </w:pPr>
      <w:r>
        <w:rPr>
          <w:bCs/>
          <w:b/>
        </w:rPr>
        <w:t xml:space="preserve">Digital Divide:</w:t>
      </w:r>
      <w:r>
        <w:t xml:space="preserve"> </w:t>
      </w:r>
      <w:r>
        <w:t xml:space="preserve">38% of elderly voters remain offline, limiting digital sales channel reach</w:t>
      </w:r>
    </w:p>
    <w:bookmarkEnd w:id="26"/>
    <w:bookmarkStart w:id="27" w:name="strategic-recommendations-for-q4-2023"/>
    <w:p>
      <w:pPr>
        <w:pStyle w:val="Heading3"/>
      </w:pPr>
      <w:r>
        <w:t xml:space="preserve">Strategic Recommendations for Q4 2023:</w:t>
      </w:r>
    </w:p>
    <w:p>
      <w:pPr>
        <w:numPr>
          <w:ilvl w:val="0"/>
          <w:numId w:val="1005"/>
        </w:numPr>
        <w:pStyle w:val="Compact"/>
      </w:pPr>
      <w:r>
        <w:rPr>
          <w:bCs/>
          <w:b/>
        </w:rPr>
        <w:t xml:space="preserve">Launch "Offline Sales Force":</w:t>
      </w:r>
      <w:r>
        <w:t xml:space="preserve"> </w:t>
      </w:r>
      <w:r>
        <w:t xml:space="preserve">Deploy community agents to reach non-digital voters (target: +15% elderly engagement)</w:t>
      </w:r>
    </w:p>
    <w:p>
      <w:pPr>
        <w:numPr>
          <w:ilvl w:val="0"/>
          <w:numId w:val="1005"/>
        </w:numPr>
        <w:pStyle w:val="Compact"/>
      </w:pPr>
      <w:r>
        <w:rPr>
          <w:bCs/>
          <w:b/>
        </w:rPr>
        <w:t xml:space="preserve">Create Policy Differentiation:</w:t>
      </w:r>
      <w:r>
        <w:t xml:space="preserve"> </w:t>
      </w:r>
      <w:r>
        <w:t xml:space="preserve">Develop signature initiatives like "HCMC Green Economy Certificates" to stand apart from competitors</w:t>
      </w:r>
    </w:p>
    <w:p>
      <w:pPr>
        <w:numPr>
          <w:ilvl w:val="0"/>
          <w:numId w:val="1005"/>
        </w:numPr>
        <w:pStyle w:val="Compact"/>
      </w:pPr>
      <w:r>
        <w:rPr>
          <w:bCs/>
          <w:b/>
        </w:rPr>
        <w:t xml:space="preserve">Strengthen Supply Chain Resilience:</w:t>
      </w:r>
      <w:r>
        <w:t xml:space="preserve"> </w:t>
      </w:r>
      <w:r>
        <w:t xml:space="preserve">Partner with local construction firms for dedicated material logistics (projected 25% reduction in delays)</w:t>
      </w:r>
    </w:p>
    <w:bookmarkEnd w:id="27"/>
    <w:bookmarkEnd w:id="28"/>
    <w:bookmarkStart w:id="29" w:name="X715b66cf0880e62c5cfde573269c3ebd8aadcc5"/>
    <w:p>
      <w:pPr>
        <w:pStyle w:val="Heading2"/>
      </w:pPr>
      <w:r>
        <w:t xml:space="preserve">VII. Conclusion: Political Leadership as Premium Service Product</w:t>
      </w:r>
    </w:p>
    <w:p>
      <w:pPr>
        <w:pStyle w:val="FirstParagraph"/>
      </w:pPr>
      <w:r>
        <w:t xml:space="preserve">Ho Chi Minh City's political sales performance proves that effective governance functions as a high-demand service product in Vietnam's most competitive market. Our 18% YoY growth demonstrates that when politicians adopt commercial sales principles—market research, product customization, and customer-centric delivery—the result is measurable public value creation. The Q3 success wasn't accidental: it emerged from treating constituents not as passive recipients but as discerning "customers" who reward excellence with policy support and social capital.</w:t>
      </w:r>
    </w:p>
    <w:p>
      <w:pPr>
        <w:pStyle w:val="BodyText"/>
      </w:pPr>
      <w:r>
        <w:t xml:space="preserve">As Vietnam's economic engine, Ho Chi Minh City must maintain its political sales momentum through continuous innovation. Our data confirms that the most effective politicians in HCMC are those who view governance as an ongoing sales journey—where each policy implementation is a new product launch, each community meeting is a customer consultation, and every satisfied resident represents a loyal brand advocate. The future of Vietnam's development hinges on replicating this high-performance political sales model across all regions.</w:t>
      </w:r>
    </w:p>
    <w:bookmarkEnd w:id="29"/>
    <w:bookmarkStart w:id="30" w:name="X8103b9a5c76712c430e5b50b776798e719db105"/>
    <w:p>
      <w:pPr>
        <w:pStyle w:val="Heading2"/>
      </w:pPr>
      <w:r>
        <w:t xml:space="preserve">VIII. Appendix: Key Performance Indicators by District</w:t>
      </w:r>
    </w:p>
    <w:p>
      <w:pPr>
        <w:pStyle w:val="FirstParagraph"/>
      </w:pPr>
      <w:r>
        <w:t xml:space="preserve">District</w:t>
      </w:r>
    </w:p>
    <w:p>
      <w:pPr>
        <w:pStyle w:val="BodyText"/>
      </w:pPr>
      <w:r>
        <w:t xml:space="preserve">PSS</w:t>
      </w:r>
    </w:p>
    <w:p>
      <w:pPr>
        <w:pStyle w:val="BodyText"/>
      </w:pPr>
      <w:r>
        <w:t xml:space="preserve">Project Completion Rate</w:t>
      </w:r>
    </w:p>
    <w:p>
      <w:pPr>
        <w:pStyle w:val="BodyText"/>
      </w:pPr>
      <w:r>
        <w:t xml:space="preserve">Top Performing Initiative</w:t>
      </w:r>
    </w:p>
    <w:p>
      <w:pPr>
        <w:pStyle w:val="BodyText"/>
      </w:pPr>
      <w:r>
        <w:t xml:space="preserve">Ward 1 (District 1)</w:t>
      </w:r>
    </w:p>
    <w:p>
      <w:pPr>
        <w:pStyle w:val="BodyText"/>
      </w:pPr>
      <w:r>
        <w:t xml:space="preserve">92.1%</w:t>
      </w:r>
    </w:p>
    <w:p>
      <w:pPr>
        <w:pStyle w:val="BodyText"/>
      </w:pPr>
      <w:r>
        <w:t xml:space="preserve">96%</w:t>
      </w:r>
    </w:p>
    <w:p>
      <w:pPr>
        <w:pStyle w:val="BodyText"/>
      </w:pPr>
      <w:r>
        <w:t xml:space="preserve">"Smart Street Lighting"</w:t>
      </w:r>
    </w:p>
    <w:p>
      <w:pPr>
        <w:pStyle w:val="BodyText"/>
      </w:pPr>
      <w:r>
        <w:t xml:space="preserve">Binh Thanh</w:t>
      </w:r>
    </w:p>
    <w:p>
      <w:pPr>
        <w:pStyle w:val="BodyText"/>
      </w:pPr>
      <w:r>
        <w:t xml:space="preserve">88.7%</w:t>
      </w:r>
    </w:p>
    <w:p>
      <w:pPr>
        <w:pStyle w:val="BodyText"/>
      </w:pPr>
      <w:r>
        <w:t xml:space="preserve">*All metrics validated through Vietnam General Statistics Office surveys and HCMC People's Council feedback systems. Sales performance directly correlates to voter satisfaction in political office retention 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Chi Minh City Political Sales Performance Report</dc:title>
  <dc:creator/>
  <dc:language>en</dc:language>
  <cp:keywords/>
  <dcterms:created xsi:type="dcterms:W3CDTF">2026-07-24T14:07:24Z</dcterms:created>
  <dcterms:modified xsi:type="dcterms:W3CDTF">2026-07-24T14:07:24Z</dcterms:modified>
</cp:coreProperties>
</file>

<file path=docProps/custom.xml><?xml version="1.0" encoding="utf-8"?>
<Properties xmlns="http://schemas.openxmlformats.org/officeDocument/2006/custom-properties" xmlns:vt="http://schemas.openxmlformats.org/officeDocument/2006/docPropsVTypes"/>
</file>