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8" w:name="Xbdb8415c2235f01ae77f3a85797efc41043bf49"/>
    <w:p>
      <w:pPr>
        <w:pStyle w:val="Heading1"/>
      </w:pPr>
      <w:r>
        <w:t xml:space="preserve">Comprehensive Sales Report: Professor Brand Performance in Australia Melbourne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w:t>
      </w:r>
      <w:r>
        <w:br/>
      </w:r>
      <w:r>
        <w:rPr>
          <w:bCs/>
          <w:b/>
        </w:rPr>
        <w:t xml:space="preserve">Region Covered:</w:t>
      </w:r>
      <w:r>
        <w:t xml:space="preserve"> </w:t>
      </w:r>
      <w:r>
        <w:t xml:space="preserve">Victoria, Australia (with primary focus on Melbourne metropolitan area)</w:t>
      </w:r>
    </w:p>
    <w:bookmarkStart w:id="20" w:name="i.-executive-summary"/>
    <w:p>
      <w:pPr>
        <w:pStyle w:val="Heading2"/>
      </w:pPr>
      <w:r>
        <w:t xml:space="preserve">I. Executive Summary</w:t>
      </w:r>
    </w:p>
    <w:p>
      <w:pPr>
        <w:pStyle w:val="FirstParagraph"/>
      </w:pPr>
      <w:r>
        <w:t xml:space="preserve">This Sales Report details the performance of the Professor brand across the Australia Melbourne market for Q3 2023. The Professor product suite—comprising premium educational technology solutions and professional development programs—has achieved remarkable traction, recording a 37% year-over-year revenue growth within Melbourne's education sector. This success stems from strategic alignment with Victoria's educational priorities and targeted engagement with metropolitan institutions. Notably, the Professor brand has established itself as a category leader in Melbourne's higher education technology landscape, securing partnerships with 12 major universities and 45+ secondary schools across the region. The report confirms that Melbourne remains our most promising Australian market for scalable growth in educational innovation.</w:t>
      </w:r>
    </w:p>
    <w:bookmarkEnd w:id="20"/>
    <w:bookmarkStart w:id="21" w:name="Xc92bcdf3e1b83bbeb96e096cef2e98b5cf13520"/>
    <w:p>
      <w:pPr>
        <w:pStyle w:val="Heading2"/>
      </w:pPr>
      <w:r>
        <w:t xml:space="preserve">II. Market Context: Australia Melbourne Educational Landscape</w:t>
      </w:r>
    </w:p>
    <w:p>
      <w:pPr>
        <w:pStyle w:val="FirstParagraph"/>
      </w:pPr>
      <w:r>
        <w:t xml:space="preserve">The Victoria government's $500 million "Digital Education Revolution" initiative has created unprecedented demand for cutting-edge learning platforms in Australia Melbourne. With Melbourne ranking #1 nationally for educational infrastructure investment (2023 Department of Education data), the Professor brand positioned itself perfectly at the intersection of technology adoption and pedagogical innovation. Key market drivers include:</w:t>
      </w:r>
    </w:p>
    <w:p>
      <w:pPr>
        <w:numPr>
          <w:ilvl w:val="0"/>
          <w:numId w:val="1001"/>
        </w:numPr>
        <w:pStyle w:val="Compact"/>
      </w:pPr>
      <w:r>
        <w:t xml:space="preserve">Statewide mandate for AI-integrated curricula by 2025</w:t>
      </w:r>
    </w:p>
    <w:p>
      <w:pPr>
        <w:numPr>
          <w:ilvl w:val="0"/>
          <w:numId w:val="1001"/>
        </w:numPr>
        <w:pStyle w:val="Compact"/>
      </w:pPr>
      <w:r>
        <w:t xml:space="preserve">34% increase in EdTech funding allocations for Melbourne institutions since 2021</w:t>
      </w:r>
    </w:p>
    <w:p>
      <w:pPr>
        <w:numPr>
          <w:ilvl w:val="0"/>
          <w:numId w:val="1001"/>
        </w:numPr>
        <w:pStyle w:val="Compact"/>
      </w:pPr>
      <w:r>
        <w:t xml:space="preserve">Heightened demand for personalized learning tools post-pandemic (78% of Melbourne schools now require adaptive platforms)</w:t>
      </w:r>
    </w:p>
    <w:p>
      <w:pPr>
        <w:pStyle w:val="FirstParagraph"/>
      </w:pPr>
      <w:r>
        <w:t xml:space="preserve">Professor's localized approach—tailored to VCE (Victorian Certificate of Education) frameworks—has been instrumental in capturing market share from international competitors.</w:t>
      </w:r>
    </w:p>
    <w:bookmarkEnd w:id="21"/>
    <w:bookmarkStart w:id="22" w:name="X3dcc2a2e53071d671aadcc1a9205c5d9c1c4d2f"/>
    <w:p>
      <w:pPr>
        <w:pStyle w:val="Heading2"/>
      </w:pPr>
      <w:r>
        <w:t xml:space="preserve">III. Sales Performance Highlights: Australia Melbourne Market</w:t>
      </w:r>
    </w:p>
    <w:p>
      <w:pPr>
        <w:pStyle w:val="FirstParagraph"/>
      </w:pPr>
      <w:r>
        <w:t xml:space="preserve">Q3 2023 sales metrics for the Professor brand in Melbourne demonstrate exceptional growth:</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Revenue (AUD)</w:t>
      </w:r>
    </w:p>
    <w:p>
      <w:pPr>
        <w:pStyle w:val="BodyText"/>
      </w:pPr>
      <w:r>
        <w:t xml:space="preserve">$1,845,000</w:t>
      </w:r>
    </w:p>
    <w:p>
      <w:pPr>
        <w:pStyle w:val="BodyText"/>
      </w:pPr>
      <w:r>
        <w:t xml:space="preserve">+37%</w:t>
      </w:r>
    </w:p>
    <w:p>
      <w:pPr>
        <w:pStyle w:val="BodyText"/>
      </w:pPr>
      <w:r>
        <w:t xml:space="preserve">126%</w:t>
      </w:r>
    </w:p>
    <w:p>
      <w:pPr>
        <w:pStyle w:val="BodyText"/>
      </w:pPr>
      <w:r>
        <w:t xml:space="preserve">New Institutional Contracts</w:t>
      </w:r>
    </w:p>
    <w:p>
      <w:pPr>
        <w:pStyle w:val="BodyText"/>
      </w:pPr>
      <w:r>
        <w:t xml:space="preserve">23</w:t>
      </w:r>
    </w:p>
    <w:p>
      <w:pPr>
        <w:pStyle w:val="BodyText"/>
      </w:pPr>
      <w:r>
        <w:t xml:space="preserve">+58%</w:t>
      </w:r>
    </w:p>
    <w:p>
      <w:pPr>
        <w:pStyle w:val="BodyText"/>
      </w:pPr>
      <w:r>
        <w:t xml:space="preserve">142%</w:t>
      </w:r>
    </w:p>
    <w:p>
      <w:pPr>
        <w:pStyle w:val="BodyText"/>
      </w:pPr>
      <w:r>
        <w:t xml:space="preserve">User Adoption Rate) (per school)</w:t>
      </w:r>
    </w:p>
    <w:p>
      <w:pPr>
        <w:pStyle w:val="BodyText"/>
      </w:pPr>
      <w:r>
        <w:t xml:space="preserve">The 23 new contracts represent a 73% conversion rate from initial demonstrations, significantly exceeding the global average of 52%. Critical to this success is Professor's Melbourne-specific implementation strategy: all support staff are locally based in Docklands, enabling same-day onboarding for schools. This localized service model has driven a 41% reduction in client churn compared to competitors.</w:t>
      </w:r>
    </w:p>
    <w:bookmarkEnd w:id="22"/>
    <w:bookmarkStart w:id="23" w:name="Xe0e9da3731a3703dbd894dece9d528a06127982"/>
    <w:p>
      <w:pPr>
        <w:pStyle w:val="Heading2"/>
      </w:pPr>
      <w:r>
        <w:t xml:space="preserve">IV. Customer Success Stories: Melbourne Impact</w:t>
      </w:r>
    </w:p>
    <w:p>
      <w:pPr>
        <w:pStyle w:val="FirstParagraph"/>
      </w:pPr>
      <w:r>
        <w:t xml:space="preserve">Real-world adoption stories underscore Professor's market penetration:</w:t>
      </w:r>
    </w:p>
    <w:p>
      <w:pPr>
        <w:numPr>
          <w:ilvl w:val="0"/>
          <w:numId w:val="1002"/>
        </w:numPr>
        <w:pStyle w:val="Compact"/>
      </w:pPr>
      <w:r>
        <w:rPr>
          <w:bCs/>
          <w:b/>
        </w:rPr>
        <w:t xml:space="preserve">University of Melbourne Case Study:</w:t>
      </w:r>
      <w:r>
        <w:t xml:space="preserve"> </w:t>
      </w:r>
      <w:r>
        <w:t xml:space="preserve">Implemented Professor's AI analytics module across 15 faculties, reducing student attrition by 22% in STEM programs during the first semester. The Dean noted: "Professor’s adaptive learning pathways directly address Victorian government objectives for STEM workforce development."</w:t>
      </w:r>
    </w:p>
    <w:p>
      <w:pPr>
        <w:numPr>
          <w:ilvl w:val="0"/>
          <w:numId w:val="1002"/>
        </w:numPr>
        <w:pStyle w:val="Compact"/>
      </w:pPr>
      <w:r>
        <w:rPr>
          <w:bCs/>
          <w:b/>
        </w:rPr>
        <w:t xml:space="preserve">Brisbane Street Secondary College:</w:t>
      </w:r>
      <w:r>
        <w:t xml:space="preserve"> </w:t>
      </w:r>
      <w:r>
        <w:t xml:space="preserve">Achieved a 34% improvement in Year 10 VCE results after deploying Professor's curriculum mapping tool. The principal highlighted: "The Melbourne-based support team understood our specific assessment requirements better than any international vendor."</w:t>
      </w:r>
    </w:p>
    <w:p>
      <w:pPr>
        <w:numPr>
          <w:ilvl w:val="0"/>
          <w:numId w:val="1002"/>
        </w:numPr>
        <w:pStyle w:val="Compact"/>
      </w:pPr>
      <w:r>
        <w:rPr>
          <w:bCs/>
          <w:b/>
        </w:rPr>
        <w:t xml:space="preserve">Victorian Institute of Technology (VIT):</w:t>
      </w:r>
      <w:r>
        <w:t xml:space="preserve"> </w:t>
      </w:r>
      <w:r>
        <w:t xml:space="preserve">Integrated Professor's professional development modules into teacher training, resulting in 97% satisfaction among educators across 18 Melbourne campuses.</w:t>
      </w:r>
    </w:p>
    <w:bookmarkEnd w:id="23"/>
    <w:bookmarkStart w:id="24" w:name="Xb91b7e4ec3e86af76851b427204364827d07bd1"/>
    <w:p>
      <w:pPr>
        <w:pStyle w:val="Heading2"/>
      </w:pPr>
      <w:r>
        <w:t xml:space="preserve">V. Competitive Differentiation: Why Melbourne Chose Professor</w:t>
      </w:r>
    </w:p>
    <w:p>
      <w:pPr>
        <w:pStyle w:val="FirstParagraph"/>
      </w:pPr>
      <w:r>
        <w:t xml:space="preserve">Our competitive edge in Australia Melbourne stems from three strategic pillars:</w:t>
      </w:r>
    </w:p>
    <w:p>
      <w:pPr>
        <w:numPr>
          <w:ilvl w:val="0"/>
          <w:numId w:val="1003"/>
        </w:numPr>
        <w:pStyle w:val="Compact"/>
      </w:pPr>
      <w:r>
        <w:rPr>
          <w:bCs/>
          <w:b/>
        </w:rPr>
        <w:t xml:space="preserve">Regulatory Alignment:</w:t>
      </w:r>
      <w:r>
        <w:t xml:space="preserve"> </w:t>
      </w:r>
      <w:r>
        <w:t xml:space="preserve">Professor's platform is fully compliant with Victoria’s Education and Training Services Act (2018), a critical requirement absent in most global competitors.</w:t>
      </w:r>
    </w:p>
    <w:p>
      <w:pPr>
        <w:numPr>
          <w:ilvl w:val="0"/>
          <w:numId w:val="1003"/>
        </w:numPr>
        <w:pStyle w:val="Compact"/>
      </w:pPr>
      <w:r>
        <w:rPr>
          <w:bCs/>
          <w:b/>
        </w:rPr>
        <w:t xml:space="preserve">Localized Content Libraries:</w:t>
      </w:r>
      <w:r>
        <w:t xml:space="preserve"> </w:t>
      </w:r>
      <w:r>
        <w:t xml:space="preserve">85% of educational assets are curated specifically for Victorian curricula, including VCE study designs and state-specific assessment rubrics.</w:t>
      </w:r>
    </w:p>
    <w:p>
      <w:pPr>
        <w:numPr>
          <w:ilvl w:val="0"/>
          <w:numId w:val="1003"/>
        </w:numPr>
        <w:pStyle w:val="Compact"/>
      </w:pPr>
      <w:r>
        <w:rPr>
          <w:bCs/>
          <w:b/>
        </w:rPr>
        <w:t xml:space="preserve">Community Integration:</w:t>
      </w:r>
      <w:r>
        <w:t xml:space="preserve"> </w:t>
      </w:r>
      <w:r>
        <w:t xml:space="preserve">Professor co-hosts quarterly "EdTech Innovation Forums" with Melbourne University and the Department of Education, establishing thought leadership beyond transactional sales.</w:t>
      </w:r>
    </w:p>
    <w:bookmarkEnd w:id="24"/>
    <w:bookmarkStart w:id="25" w:name="vi.-challenges-strategic-opportunities"/>
    <w:p>
      <w:pPr>
        <w:pStyle w:val="Heading2"/>
      </w:pPr>
      <w:r>
        <w:t xml:space="preserve">VI. Challenges &amp; Strategic Opportunities</w:t>
      </w:r>
    </w:p>
    <w:p>
      <w:pPr>
        <w:pStyle w:val="FirstParagraph"/>
      </w:pPr>
      <w:r>
        <w:t xml:space="preserve">While performance is strong, two challenges require attention in Q4 2023:</w:t>
      </w:r>
    </w:p>
    <w:p>
      <w:pPr>
        <w:numPr>
          <w:ilvl w:val="0"/>
          <w:numId w:val="1004"/>
        </w:numPr>
        <w:pStyle w:val="Compact"/>
      </w:pPr>
      <w:r>
        <w:rPr>
          <w:bCs/>
          <w:b/>
        </w:rPr>
        <w:t xml:space="preserve">Supply Chain Delays:</w:t>
      </w:r>
      <w:r>
        <w:t xml:space="preserve"> </w:t>
      </w:r>
      <w:r>
        <w:t xml:space="preserve">Import tariffs on hardware components (used in Professor's classroom IoT kits) increased costs by 19%. Mitigation: Partnering with Melbourne-based manufacturer "TechVic" for local assembly.</w:t>
      </w:r>
    </w:p>
    <w:p>
      <w:pPr>
        <w:numPr>
          <w:ilvl w:val="0"/>
          <w:numId w:val="1004"/>
        </w:numPr>
        <w:pStyle w:val="Compact"/>
      </w:pPr>
      <w:r>
        <w:rPr>
          <w:bCs/>
          <w:b/>
        </w:rPr>
        <w:t xml:space="preserve">Demand-Supply Gap:</w:t>
      </w:r>
      <w:r>
        <w:t xml:space="preserve"> </w:t>
      </w:r>
      <w:r>
        <w:t xml:space="preserve">67% of schools requested expanded support for Indigenous learning pathways. Opportunity: Developing a "First Nations Curriculum Module" in collaboration with Melbourne's Victorian Aboriginal Corporation.</w:t>
      </w:r>
    </w:p>
    <w:p>
      <w:pPr>
        <w:pStyle w:val="FirstParagraph"/>
      </w:pPr>
      <w:r>
        <w:t xml:space="preserve">The opportunity to expand Professor's presence into Melbourne's $120 million vocational training sector (including TAFE institutions) represents a 30% revenue upside potential for 2024.</w:t>
      </w:r>
    </w:p>
    <w:bookmarkEnd w:id="25"/>
    <w:bookmarkStart w:id="26" w:name="X6a5c1a6b01f93fb5916ac5ff137f92d5cf8bd31"/>
    <w:p>
      <w:pPr>
        <w:pStyle w:val="Heading2"/>
      </w:pPr>
      <w:r>
        <w:t xml:space="preserve">VII. Future Strategy: Professor’s Melbourne Growth Plan</w:t>
      </w:r>
    </w:p>
    <w:p>
      <w:pPr>
        <w:pStyle w:val="FirstParagraph"/>
      </w:pPr>
      <w:r>
        <w:t xml:space="preserve">Based on Q3 success, we propose three priority initiatives:</w:t>
      </w:r>
    </w:p>
    <w:p>
      <w:pPr>
        <w:numPr>
          <w:ilvl w:val="0"/>
          <w:numId w:val="1005"/>
        </w:numPr>
        <w:pStyle w:val="Compact"/>
      </w:pPr>
      <w:r>
        <w:rPr>
          <w:bCs/>
          <w:b/>
        </w:rPr>
        <w:t xml:space="preserve">Establish Melbourne Innovation Hub:</w:t>
      </w:r>
      <w:r>
        <w:t xml:space="preserve"> </w:t>
      </w:r>
      <w:r>
        <w:t xml:space="preserve">Convert our Docklands office into a live demonstration center by Q1 2024, hosting free workshops for educators. Projected impact: 50% increase in lead generation.</w:t>
      </w:r>
    </w:p>
    <w:p>
      <w:pPr>
        <w:numPr>
          <w:ilvl w:val="0"/>
          <w:numId w:val="1005"/>
        </w:numPr>
        <w:pStyle w:val="Compact"/>
      </w:pPr>
      <w:r>
        <w:rPr>
          <w:bCs/>
          <w:b/>
        </w:rPr>
        <w:t xml:space="preserve">Government Partnership Program:</w:t>
      </w:r>
      <w:r>
        <w:t xml:space="preserve"> </w:t>
      </w:r>
      <w:r>
        <w:t xml:space="preserve">Align with the Victorian Government's "EdTech Accelerator" initiative to co-fund pilot programs in regional Melbourne schools (e.g., Geelong, Bendigo).</w:t>
      </w:r>
    </w:p>
    <w:bookmarkEnd w:id="26"/>
    <w:bookmarkStart w:id="27" w:name="Xf5bb70ccb8c77fccda0a8f5dc83d716c810a813"/>
    <w:p>
      <w:pPr>
        <w:pStyle w:val="Heading2"/>
      </w:pPr>
      <w:r>
        <w:t xml:space="preserve">VIII. Conclusion: Professor’s Unmatched Position in Australia Melbourne</w:t>
      </w:r>
    </w:p>
    <w:p>
      <w:pPr>
        <w:pStyle w:val="FirstParagraph"/>
      </w:pPr>
      <w:r>
        <w:t xml:space="preserve">This Sales Report confirms that Professor has not merely entered the Australia Melbourne market—it has redefined it. Our 37% YoY growth, deep curriculum integration, and government-aligned solutions position us as the undisputed leader in Victoria's educational technology sector. The Melbourne market demonstrates how localized execution combined with global innovation creates sustainable competitive advantage. As the Victorian government accelerates its digital education roadmap, Professor is uniquely equipped to be the technology partner of choice for every educational institution across this dynamic city. We project 45%+ revenue growth for Melbourne in 2024, cementing our position as Australia's premier education technology brand.</w:t>
      </w:r>
    </w:p>
    <w:p>
      <w:pPr>
        <w:pStyle w:val="BodyText"/>
      </w:pPr>
      <w:r>
        <w:rPr>
          <w:bCs/>
          <w:b/>
        </w:rPr>
        <w:t xml:space="preserve">Prepared by:</w:t>
      </w:r>
      <w:r>
        <w:t xml:space="preserve"> </w:t>
      </w:r>
      <w:r>
        <w:t xml:space="preserve">Global Sales Operations, Professor Technologies</w:t>
      </w:r>
      <w:r>
        <w:br/>
      </w:r>
      <w:r>
        <w:rPr>
          <w:bCs/>
          <w:b/>
        </w:rPr>
        <w:t xml:space="preserve">Contact:</w:t>
      </w:r>
      <w:r>
        <w:t xml:space="preserve"> </w:t>
      </w:r>
      <w:r>
        <w:t xml:space="preserve">sales.australia@professorsolutions.com</w:t>
      </w:r>
      <w:r>
        <w:br/>
      </w:r>
      <w:r>
        <w:rPr>
          <w:iCs/>
          <w:i/>
        </w:rPr>
        <w:t xml:space="preserve">This report covers all data points from Melbourne metropolitan area (including Greater Melbourne, Geelong, and Ballarat) for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Australia Melbourne Market Analysis</dc:title>
  <dc:creator/>
  <dc:language>en</dc:language>
  <cp:keywords/>
  <dcterms:created xsi:type="dcterms:W3CDTF">2026-07-23T11:29:12Z</dcterms:created>
  <dcterms:modified xsi:type="dcterms:W3CDTF">2026-07-23T11:29:12Z</dcterms:modified>
</cp:coreProperties>
</file>

<file path=docProps/custom.xml><?xml version="1.0" encoding="utf-8"?>
<Properties xmlns="http://schemas.openxmlformats.org/officeDocument/2006/custom-properties" xmlns:vt="http://schemas.openxmlformats.org/officeDocument/2006/docPropsVTypes"/>
</file>