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d12b488c31a32690a6e41e71646eb8c505b2b9a"/>
    <w:p>
      <w:pPr>
        <w:pStyle w:val="Heading1"/>
      </w:pPr>
      <w:r>
        <w:t xml:space="preserve">Sales Report: Professor Brand Performance in Bangladesh Dhaka Market (Q3 2023)</w:t>
      </w:r>
    </w:p>
    <w:p>
      <w:pPr>
        <w:pStyle w:val="FirstParagraph"/>
      </w:pPr>
      <w:r>
        <w:rPr>
          <w:bCs/>
          <w:b/>
        </w:rPr>
        <w:t xml:space="preserve">Prepared for:</w:t>
      </w:r>
      <w:r>
        <w:t xml:space="preserve"> </w:t>
      </w:r>
      <w:r>
        <w:t xml:space="preserve">Executive Management, Professor Global Holdings</w:t>
      </w:r>
      <w:r>
        <w:br/>
      </w:r>
      <w:r>
        <w:rPr>
          <w:bCs/>
          <w:b/>
        </w:rPr>
        <w:t xml:space="preserve">Date:</w:t>
      </w:r>
      <w:r>
        <w:t xml:space="preserve"> </w:t>
      </w:r>
      <w:r>
        <w:t xml:space="preserve">October 26, 2023</w:t>
      </w:r>
      <w:r>
        <w:br/>
      </w:r>
      <w:r>
        <w:rPr>
          <w:bCs/>
          <w:b/>
        </w:rPr>
        <w:t xml:space="preserve">Region Covered:</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comprehensive Sales Report details the performance of Professor brand products across Bangladesh's premier market hub – Dhaka. The report analyzes Q3 2023 sales metrics, market penetration strategies, and consumer behavior patterns specific to Dhaka's dynamic commercial landscape. Despite regional economic fluctuations, Professor achieved remarkable growth in the Dhaka market with a 34% year-over-year increase in revenue, significantly outperforming national averages. This success underscores the brand's strategic alignment with Bangladesh's evolving educational and professional development needs.</w:t>
      </w:r>
    </w:p>
    <w:bookmarkEnd w:id="20"/>
    <w:bookmarkStart w:id="21" w:name="X9dc542411e72fc0968d69db822df9ae42120e8f"/>
    <w:p>
      <w:pPr>
        <w:pStyle w:val="Heading2"/>
      </w:pPr>
      <w:r>
        <w:t xml:space="preserve">II. Market Context: Why Professor Thrives in Bangladesh Dhaka</w:t>
      </w:r>
    </w:p>
    <w:p>
      <w:pPr>
        <w:pStyle w:val="FirstParagraph"/>
      </w:pPr>
      <w:r>
        <w:t xml:space="preserve">Dhaka represents the economic and educational epicenter of Bangladesh, home to over 18 million residents and 40% of the nation's GDP. With more than 350 universities, 15,000+ schools, and a rapidly growing middle class demanding quality educational resources, Dhaka presents an unparalleled opportunity for Professor – an innovative e-learning platform specializing in professional certification programs. The brand has strategically positioned itself as the</w:t>
      </w:r>
      <w:r>
        <w:t xml:space="preserve"> </w:t>
      </w:r>
      <w:r>
        <w:rPr>
          <w:iCs/>
          <w:i/>
        </w:rPr>
        <w:t xml:space="preserve">preferred partner</w:t>
      </w:r>
      <w:r>
        <w:t xml:space="preserve"> </w:t>
      </w:r>
      <w:r>
        <w:t xml:space="preserve">for career advancement in Bangladesh's competitive job market.</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(BDT)</w:t>
            </w:r>
          </w:p>
        </w:tc>
        <w:tc>
          <w:tcPr/>
          <w:p>
            <w:pPr>
              <w:pStyle w:val="Compact"/>
              <w:jc w:val="left"/>
            </w:pPr>
            <w:r>
              <w:t xml:space="preserve">Q3 2022 (BDT)</w:t>
            </w:r>
          </w:p>
        </w:tc>
        <w:tc>
          <w:tcPr/>
          <w:p>
            <w:pPr>
              <w:pStyle w:val="Compact"/>
              <w:jc w:val="left"/>
            </w:pPr>
            <w:r>
              <w:t xml:space="preserve">Growth (%)</w:t>
            </w:r>
          </w:p>
        </w:tc>
      </w:tr>
      <w:tr>
        <w:tc>
          <w:tcPr/>
          <w:p>
            <w:pPr>
              <w:pStyle w:val="Compact"/>
              <w:jc w:val="left"/>
            </w:pPr>
            <w:r>
              <w:t xml:space="preserve">Total Revenue</w:t>
            </w:r>
          </w:p>
        </w:tc>
        <w:tc>
          <w:tcPr/>
          <w:p>
            <w:pPr>
              <w:pStyle w:val="Compact"/>
              <w:jc w:val="left"/>
            </w:pPr>
            <w:r>
              <w:t xml:space="preserve">18,500,000</w:t>
            </w:r>
          </w:p>
        </w:tc>
        <w:tc>
          <w:tcPr/>
          <w:p>
            <w:pPr>
              <w:pStyle w:val="Compact"/>
              <w:jc w:val="left"/>
            </w:pPr>
            <w:r>
              <w:t xml:space="preserve">13,806,542</w:t>
            </w:r>
          </w:p>
        </w:tc>
        <w:tc>
          <w:tcPr/>
          <w:p>
            <w:pPr>
              <w:pStyle w:val="Compact"/>
              <w:jc w:val="left"/>
            </w:pPr>
            <w:r>
              <w:t xml:space="preserve">34.2%</w:t>
            </w:r>
          </w:p>
        </w:tc>
      </w:tr>
      <w:tr>
        <w:tc>
          <w:tcPr/>
          <w:p>
            <w:pPr>
              <w:pStyle w:val="Compact"/>
              <w:jc w:val="left"/>
            </w:pPr>
            <w:r>
              <w:t xml:space="preserve">New Subscribers (Dhaka)</w:t>
            </w:r>
          </w:p>
        </w:tc>
        <w:tc>
          <w:tcPr/>
          <w:p>
            <w:pPr>
              <w:pStyle w:val="Compact"/>
              <w:jc w:val="left"/>
            </w:pPr>
            <w:r>
              <w:t xml:space="preserve">12,785</w:t>
            </w:r>
          </w:p>
        </w:tc>
        <w:tc>
          <w:tcPr/>
          <w:p>
            <w:pPr>
              <w:pStyle w:val="Compact"/>
              <w:jc w:val="left"/>
            </w:pPr>
            <w:r>
              <w:t xml:space="preserve">9,410</w:t>
            </w:r>
          </w:p>
        </w:tc>
        <w:tc>
          <w:tcPr/>
          <w:p>
            <w:pPr>
              <w:pStyle w:val="Compact"/>
              <w:jc w:val="left"/>
            </w:pPr>
            <w:r>
              <w:t xml:space="preserve">35.8%</w:t>
            </w:r>
          </w:p>
        </w:tc>
      </w:tr>
      <w:tr>
        <w:tc>
          <w:tcPr/>
          <w:p>
            <w:pPr>
              <w:pStyle w:val="Compact"/>
              <w:jc w:val="left"/>
            </w:pPr>
            <w:r>
              <w:t xml:space="preserve">Avg. Transaction Value</w:t>
            </w:r>
          </w:p>
        </w:tc>
        <w:tc>
          <w:tcPr/>
          <w:p>
            <w:pPr>
              <w:pStyle w:val="Compact"/>
              <w:jc w:val="left"/>
            </w:pPr>
            <w:r>
              <w:t xml:space="preserve">1,447 BDT</w:t>
            </w:r>
          </w:p>
        </w:tc>
        <w:tc>
          <w:tcPr/>
          <w:p>
            <w:pPr>
              <w:pStyle w:val="Compact"/>
              <w:jc w:val="left"/>
            </w:pPr>
            <w:r>
              <w:t xml:space="preserve">1,270 BDT</w:t>
            </w:r>
          </w:p>
        </w:tc>
        <w:tc>
          <w:tcPr/>
          <w:p>
            <w:pPr>
              <w:pStyle w:val="Compact"/>
              <w:jc w:val="left"/>
            </w:pPr>
            <w:r>
              <w:t xml:space="preserve">13.9%</w:t>
            </w:r>
          </w:p>
        </w:tc>
      </w:tr>
      <w:tr>
        <w:tc>
          <w:tcPr/>
          <w:p>
            <w:pPr>
              <w:pStyle w:val="Compact"/>
              <w:jc w:val="left"/>
            </w:pPr>
            <w:r>
              <w:t xml:space="preserve">Mobility App Usage (Dhaka)</w:t>
            </w:r>
          </w:p>
        </w:tc>
        <w:tc>
          <w:tcPr/>
          <w:p>
            <w:pPr>
              <w:pStyle w:val="Compact"/>
              <w:jc w:val="left"/>
            </w:pPr>
            <w:r>
              <w:t xml:space="preserve">87% of subscribers</w:t>
            </w:r>
          </w:p>
        </w:tc>
        <w:tc>
          <w:tcPr/>
          <w:p>
            <w:pPr>
              <w:pStyle w:val="Compact"/>
              <w:jc w:val="left"/>
            </w:pPr>
            <w:r>
              <w:t xml:space="preserve">65% of subscribers</w:t>
            </w:r>
          </w:p>
        </w:tc>
        <w:tc>
          <w:tcPr/>
          <w:p>
            <w:pPr>
              <w:pStyle w:val="Compact"/>
              <w:jc w:val="left"/>
            </w:pPr>
            <w:r>
              <w:t xml:space="preserve">+22 pp</w:t>
            </w:r>
          </w:p>
        </w:tc>
      </w:tr>
    </w:tbl>
    <w:p>
      <w:pPr>
        <w:pStyle w:val="BodyText"/>
      </w:pPr>
      <w:r>
        <w:t xml:space="preserve">The exceptional growth is particularly noteworthy given Dhaka's competitive landscape. Professor now commands 28% market share in paid professional certification programs within Bangladesh, surpassing local competitors by 15 percentage points. This leadership position was achieved through hyper-localized content addressing Bangladesh-specific career pathways like Civil Service preparation, BCS exam coaching, and IT certifications demanded by Dhaka's corporate sector.</w:t>
      </w:r>
    </w:p>
    <w:bookmarkEnd w:id="22"/>
    <w:bookmarkStart w:id="23" w:name="X9b73dfa0b435456ddcbf8e81c8c1c2d5ca9c810"/>
    <w:p>
      <w:pPr>
        <w:pStyle w:val="Heading2"/>
      </w:pPr>
      <w:r>
        <w:t xml:space="preserve">IV. Product Performance: Professor's Winning Formula in Dhaka</w:t>
      </w:r>
    </w:p>
    <w:p>
      <w:pPr>
        <w:pStyle w:val="FirstParagraph"/>
      </w:pPr>
      <w:r>
        <w:t xml:space="preserve">Professor's success stems from three core strategies tailored for Dhaka consumers:</w:t>
      </w:r>
    </w:p>
    <w:p>
      <w:pPr>
        <w:numPr>
          <w:ilvl w:val="0"/>
          <w:numId w:val="1001"/>
        </w:numPr>
        <w:pStyle w:val="Compact"/>
      </w:pPr>
      <w:r>
        <w:rPr>
          <w:bCs/>
          <w:b/>
        </w:rPr>
        <w:t xml:space="preserve">Dhaka-Centric Content:</w:t>
      </w:r>
      <w:r>
        <w:t xml:space="preserve"> </w:t>
      </w:r>
      <w:r>
        <w:t xml:space="preserve">All courses feature Bangladeshi case studies, local industry standards, and Bengali-language supplementary materials. The "Dhaka Business Leader" module (covering corporate culture in Bangladesh) saw 42% higher completion rates than generic courses.</w:t>
      </w:r>
    </w:p>
    <w:p>
      <w:pPr>
        <w:numPr>
          <w:ilvl w:val="0"/>
          <w:numId w:val="1001"/>
        </w:numPr>
        <w:pStyle w:val="Compact"/>
      </w:pPr>
      <w:r>
        <w:rPr>
          <w:bCs/>
          <w:b/>
        </w:rPr>
        <w:t xml:space="preserve">Mobile-First Accessibility:</w:t>
      </w:r>
      <w:r>
        <w:t xml:space="preserve"> </w:t>
      </w:r>
      <w:r>
        <w:t xml:space="preserve">93% of Dhaka users access Professor via smartphones – a direct response to Bangladesh's mobile-first internet penetration (87% of population). The app's low-data mode features were critical during Dhaka's recent network congestion events.</w:t>
      </w:r>
    </w:p>
    <w:p>
      <w:pPr>
        <w:numPr>
          <w:ilvl w:val="0"/>
          <w:numId w:val="1001"/>
        </w:numPr>
        <w:pStyle w:val="Compact"/>
      </w:pPr>
      <w:r>
        <w:rPr>
          <w:bCs/>
          <w:b/>
        </w:rPr>
        <w:t xml:space="preserve">University Partnerships:</w:t>
      </w:r>
      <w:r>
        <w:t xml:space="preserve"> </w:t>
      </w:r>
      <w:r>
        <w:t xml:space="preserve">Strategic collaborations with 12 top Dhaka universities (including DU, BUET, and Independent University) for credit-recognized courses drove institutional sales up by 57% year-over-year.</w:t>
      </w:r>
    </w:p>
    <w:bookmarkEnd w:id="23"/>
    <w:bookmarkStart w:id="24" w:name="X848e133a9622b628714a3292922209158c6609e"/>
    <w:p>
      <w:pPr>
        <w:pStyle w:val="Heading2"/>
      </w:pPr>
      <w:r>
        <w:t xml:space="preserve">V. Consumer Behavior Insights: The Professor Advantage</w:t>
      </w:r>
    </w:p>
    <w:p>
      <w:pPr>
        <w:pStyle w:val="FirstParagraph"/>
      </w:pPr>
      <w:r>
        <w:t xml:space="preserve">Analysis of 14,300 Dhaka user surveys reveals key drivers:</w:t>
      </w:r>
    </w:p>
    <w:p>
      <w:pPr>
        <w:numPr>
          <w:ilvl w:val="0"/>
          <w:numId w:val="1002"/>
        </w:numPr>
        <w:pStyle w:val="Compact"/>
      </w:pPr>
      <w:r>
        <w:t xml:space="preserve">89% of users cited "Dhaka-relevant curriculum" as their primary purchase factor – significantly higher than national average (72%).</w:t>
      </w:r>
    </w:p>
    <w:p>
      <w:pPr>
        <w:numPr>
          <w:ilvl w:val="0"/>
          <w:numId w:val="1002"/>
        </w:numPr>
        <w:pStyle w:val="Compact"/>
      </w:pPr>
      <w:r>
        <w:t xml:space="preserve">68% of students purchased Professor courses after seeing alumni success stories from Dhaka companies like Biman Bangladesh Airlines, BRAC, and Dutch-Bangla Bank.</w:t>
      </w:r>
    </w:p>
    <w:p>
      <w:pPr>
        <w:numPr>
          <w:ilvl w:val="0"/>
          <w:numId w:val="1002"/>
        </w:numPr>
        <w:pStyle w:val="Compact"/>
      </w:pPr>
      <w:r>
        <w:t xml:space="preserve">34% of new subscribers were first-time digital learners – demonstrating Professor's role in expanding Bangladesh's digital education ecosystem.</w:t>
      </w:r>
    </w:p>
    <w:bookmarkEnd w:id="24"/>
    <w:bookmarkStart w:id="25" w:name="X0bab1ea1b44022993cd4fe3ee83c206baa569c0"/>
    <w:p>
      <w:pPr>
        <w:pStyle w:val="Heading2"/>
      </w:pPr>
      <w:r>
        <w:t xml:space="preserve">VI. Challenges and Strategic Opportunities</w:t>
      </w:r>
    </w:p>
    <w:p>
      <w:pPr>
        <w:pStyle w:val="FirstParagraph"/>
      </w:pPr>
      <w:r>
        <w:t xml:space="preserve">Despite strong growth, challenges persist:</w:t>
      </w:r>
    </w:p>
    <w:p>
      <w:pPr>
        <w:numPr>
          <w:ilvl w:val="0"/>
          <w:numId w:val="1003"/>
        </w:numPr>
        <w:pStyle w:val="Compact"/>
      </w:pPr>
      <w:r>
        <w:rPr>
          <w:iCs/>
          <w:i/>
        </w:rPr>
        <w:t xml:space="preserve">Network Infrastructure:</w:t>
      </w:r>
      <w:r>
        <w:t xml:space="preserve"> </w:t>
      </w:r>
      <w:r>
        <w:t xml:space="preserve">18% of Dhaka users reported intermittent service during peak hours (7-9 PM), requiring investment in localized cloud servers.</w:t>
      </w:r>
    </w:p>
    <w:p>
      <w:pPr>
        <w:numPr>
          <w:ilvl w:val="0"/>
          <w:numId w:val="1003"/>
        </w:numPr>
        <w:pStyle w:val="Compact"/>
      </w:pPr>
      <w:r>
        <w:rPr>
          <w:iCs/>
          <w:i/>
        </w:rPr>
        <w:t xml:space="preserve">Pricing Sensitivity:</w:t>
      </w:r>
      <w:r>
        <w:t xml:space="preserve"> </w:t>
      </w:r>
      <w:r>
        <w:t xml:space="preserve">22% of potential customers cited cost barriers, especially among students from lower-income Dhaka districts like Mirpur and Kawran Bazar.</w:t>
      </w:r>
    </w:p>
    <w:p>
      <w:pPr>
        <w:pStyle w:val="FirstParagraph"/>
      </w:pPr>
      <w:r>
        <w:t xml:space="preserve">Key opportunities identified:</w:t>
      </w:r>
    </w:p>
    <w:p>
      <w:pPr>
        <w:numPr>
          <w:ilvl w:val="0"/>
          <w:numId w:val="1004"/>
        </w:numPr>
        <w:pStyle w:val="Compact"/>
      </w:pPr>
      <w:r>
        <w:rPr>
          <w:bCs/>
          <w:b/>
        </w:rPr>
        <w:t xml:space="preserve">Government Partnerships:</w:t>
      </w:r>
      <w:r>
        <w:t xml:space="preserve"> </w:t>
      </w:r>
      <w:r>
        <w:t xml:space="preserve">Collaborating with Bangladesh's Ministry of Education on "Digital Literacy for All" initiative could unlock 500,000+ potential users in Dhaka.</w:t>
      </w:r>
    </w:p>
    <w:p>
      <w:pPr>
        <w:numPr>
          <w:ilvl w:val="0"/>
          <w:numId w:val="1004"/>
        </w:numPr>
        <w:pStyle w:val="Compact"/>
      </w:pPr>
      <w:r>
        <w:rPr>
          <w:bCs/>
          <w:b/>
        </w:rPr>
        <w:t xml:space="preserve">Dhaka-Specific Product Bundles:</w:t>
      </w:r>
      <w:r>
        <w:t xml:space="preserve"> </w:t>
      </w:r>
      <w:r>
        <w:t xml:space="preserve">Launching "Dhaka Startup Accelerator" package targeting young entrepreneurs in Gulshan and Dhanmondi.</w:t>
      </w:r>
    </w:p>
    <w:p>
      <w:pPr>
        <w:numPr>
          <w:ilvl w:val="0"/>
          <w:numId w:val="1004"/>
        </w:numPr>
        <w:pStyle w:val="Compact"/>
      </w:pPr>
      <w:r>
        <w:rPr>
          <w:bCs/>
          <w:b/>
        </w:rPr>
        <w:t xml:space="preserve">Offline Integration:</w:t>
      </w:r>
      <w:r>
        <w:t xml:space="preserve"> </w:t>
      </w:r>
      <w:r>
        <w:t xml:space="preserve">Partnering with Dhaka's 5,000+ mobile recharge centers for physical voucher redemption – addressing the 28% cash payment preference.</w:t>
      </w:r>
    </w:p>
    <w:bookmarkEnd w:id="25"/>
    <w:bookmarkStart w:id="26" w:name="vii.-strategic-recommendations"/>
    <w:p>
      <w:pPr>
        <w:pStyle w:val="Heading2"/>
      </w:pPr>
      <w:r>
        <w:t xml:space="preserve">VII. Strategic Recommendations</w:t>
      </w:r>
    </w:p>
    <w:p>
      <w:pPr>
        <w:numPr>
          <w:ilvl w:val="0"/>
          <w:numId w:val="1005"/>
        </w:numPr>
        <w:pStyle w:val="Compact"/>
      </w:pPr>
      <w:r>
        <w:rPr>
          <w:iCs/>
          <w:i/>
        </w:rPr>
        <w:t xml:space="preserve">Launch "Professor Dhaka" App Version:</w:t>
      </w:r>
      <w:r>
        <w:t xml:space="preserve"> </w:t>
      </w:r>
      <w:r>
        <w:t xml:space="preserve">Develop a localized interface with Bengali voice navigation and Dhaka-specific job listings (priority #1 in Q4).</w:t>
      </w:r>
    </w:p>
    <w:p>
      <w:pPr>
        <w:numPr>
          <w:ilvl w:val="0"/>
          <w:numId w:val="1005"/>
        </w:numPr>
        <w:pStyle w:val="Compact"/>
      </w:pPr>
      <w:r>
        <w:rPr>
          <w:iCs/>
          <w:i/>
        </w:rPr>
        <w:t xml:space="preserve">University Campus Ambassadors:</w:t>
      </w:r>
      <w:r>
        <w:t xml:space="preserve"> </w:t>
      </w:r>
      <w:r>
        <w:t xml:space="preserve">Recruit 200+ student ambassadors across Dhaka universities to drive organic growth (projected 25% cost reduction in customer acquisition).</w:t>
      </w:r>
    </w:p>
    <w:p>
      <w:pPr>
        <w:numPr>
          <w:ilvl w:val="0"/>
          <w:numId w:val="1005"/>
        </w:numPr>
        <w:pStyle w:val="Compact"/>
      </w:pPr>
      <w:r>
        <w:rPr>
          <w:iCs/>
          <w:i/>
        </w:rPr>
        <w:t xml:space="preserve">Dhaka Community Events:</w:t>
      </w:r>
      <w:r>
        <w:t xml:space="preserve"> </w:t>
      </w:r>
      <w:r>
        <w:t xml:space="preserve">Host monthly "Career Connect" workshops at key locations (Bangabandhu Sheikh Mujib Convention Center, Dhanmondi Baridhara), targeting corporate recruitment cycles.</w:t>
      </w:r>
    </w:p>
    <w:bookmarkEnd w:id="26"/>
    <w:bookmarkStart w:id="27" w:name="viii.-conclusion"/>
    <w:p>
      <w:pPr>
        <w:pStyle w:val="Heading2"/>
      </w:pPr>
      <w:r>
        <w:t xml:space="preserve">VIII. Conclusion</w:t>
      </w:r>
    </w:p>
    <w:p>
      <w:pPr>
        <w:pStyle w:val="FirstParagraph"/>
      </w:pPr>
      <w:r>
        <w:t xml:space="preserve">The Professor Sales Report for Bangladesh Dhaka conclusively demonstrates the brand's transformation from a niche educational platform to an indispensable career development partner in the city's professional ecosystem. Our Q3 results prove that when educational technology aligns with local market realities – as Professor has done through its Dhaka-focused content, mobile optimization, and strategic partnerships – sustained growth is achievable even in competitive emerging markets.</w:t>
      </w:r>
    </w:p>
    <w:p>
      <w:pPr>
        <w:pStyle w:val="BodyText"/>
      </w:pPr>
      <w:r>
        <w:t xml:space="preserve">As Bangladesh's urban economy expands at 6.5% annually (World Bank), Professor is uniquely positioned to capture this growth. The Dhaka market alone represents a $32 million addressable opportunity for Professor by 2024, with the potential to serve over 100,000 students through our current infrastructure. We recommend doubling down on Dhaka-centric strategies as the cornerstone of Professor's Bangladesh expansion plan, ensuring continued leadership in this critical market.</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sales.dhaka@professor.com | +880 1712-345678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Bangladesh Dhaka Market Analysis</dc:title>
  <dc:creator/>
  <dc:language>en</dc:language>
  <cp:keywords/>
  <dcterms:created xsi:type="dcterms:W3CDTF">2026-06-02T23:44:41Z</dcterms:created>
  <dcterms:modified xsi:type="dcterms:W3CDTF">2026-06-02T23:44:41Z</dcterms:modified>
</cp:coreProperties>
</file>

<file path=docProps/custom.xml><?xml version="1.0" encoding="utf-8"?>
<Properties xmlns="http://schemas.openxmlformats.org/officeDocument/2006/custom-properties" xmlns:vt="http://schemas.openxmlformats.org/officeDocument/2006/docPropsVTypes"/>
</file>