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Professor</w:t>
      </w:r>
      <w:r>
        <w:t xml:space="preserve"> </w:t>
      </w:r>
      <w:r>
        <w:t xml:space="preserve">Market</w:t>
      </w:r>
      <w:r>
        <w:t xml:space="preserve"> </w:t>
      </w:r>
      <w:r>
        <w:t xml:space="preserve">Performance</w:t>
      </w:r>
      <w:r>
        <w:t xml:space="preserve"> </w:t>
      </w:r>
      <w:r>
        <w:t xml:space="preserve">in</w:t>
      </w:r>
      <w:r>
        <w:t xml:space="preserve"> </w:t>
      </w:r>
      <w:r>
        <w:t xml:space="preserve">Belgium</w:t>
      </w:r>
      <w:r>
        <w:t xml:space="preserve"> </w:t>
      </w:r>
      <w:r>
        <w:t xml:space="preserve">Brussels</w:t>
      </w:r>
    </w:p>
    <w:bookmarkStart w:id="30" w:name="X39af42870dc2f8bf2132339b1c00a1956660cbb"/>
    <w:p>
      <w:pPr>
        <w:pStyle w:val="Heading1"/>
      </w:pPr>
      <w:r>
        <w:t xml:space="preserve">PROFESSIONAL SALES REPORT: PROFESSOR MARKET PERFORMANCE IN BELGIUM BRUSSELS (Q2 2024)</w:t>
      </w:r>
    </w:p>
    <w:bookmarkStart w:id="20" w:name="executive-summary"/>
    <w:p>
      <w:pPr>
        <w:pStyle w:val="Heading2"/>
      </w:pPr>
      <w:r>
        <w:t xml:space="preserve">Executive Summary</w:t>
      </w:r>
    </w:p>
    <w:p>
      <w:pPr>
        <w:pStyle w:val="FirstParagraph"/>
      </w:pPr>
      <w:r>
        <w:t xml:space="preserve">This comprehensive Sales Report details the performance of Professor, our flagship educational technology platform, across the Belgium Brussels metropolitan region during Q2 2024. The report confirms that Professor has achieved unprecedented market penetration in Belgium's capital city, demonstrating exceptional growth trajectories while navigating unique regional challenges. With a 43% year-over-year increase in licensed institutions and a 37% surge in premium subscription conversions within Brussels, this performance positions Professor as the undisputed leader in enterprise educational solutions for the Benelux region. Our strategic focus on Brussels—home to over 60% of Belgium's tertiary education institutions—has yielded remarkable results, validating our market entry strategy and proving that Professor delivers measurable value where it matters most.</w:t>
      </w:r>
    </w:p>
    <w:p>
      <w:pPr>
        <w:pStyle w:val="BodyText"/>
      </w:pPr>
      <w:r>
        <w:t xml:space="preserve">As this Sales Report clearly illustrates, the Brussels market represents a critical growth frontier for Professor. The region's unique blend of international academic institutions, multilingual requirements, and progressive educational policies has created an ideal ecosystem for Professor's AI-powered curriculum management system. This report not only documents our current success but also provides actionable insights to sustain momentum in Belgium Brussels through 2024.</w:t>
      </w:r>
    </w:p>
    <w:bookmarkEnd w:id="20"/>
    <w:bookmarkStart w:id="21" w:name="X92e5ab8ff883f24490252da7f6e937755aa2bcf"/>
    <w:p>
      <w:pPr>
        <w:pStyle w:val="Heading2"/>
      </w:pPr>
      <w:r>
        <w:t xml:space="preserve">Belgium Brussels Market Analysis: The Professor Advantage</w:t>
      </w:r>
    </w:p>
    <w:p>
      <w:pPr>
        <w:pStyle w:val="FirstParagraph"/>
      </w:pPr>
      <w:r>
        <w:t xml:space="preserve">The educational technology landscape in Belgium Brussels presents distinct characteristics that have amplified Professor's competitive edge. Unlike other European markets, Brussels operates under a complex trilingual framework (Dutch, French, English) with institutions requiring seamless multilingual support—a capability perfectly addressed by Professor's AI localization engine. Our market research indicates that 78% of Brussels universities prioritize platforms offering native-language administrative interfaces, a feature Professor pioneered in this region.</w:t>
      </w:r>
    </w:p>
    <w:p>
      <w:pPr>
        <w:pStyle w:val="BodyText"/>
      </w:pPr>
      <w:r>
        <w:t xml:space="preserve">"Professor's implementation in Brussels has been transformative for institutions struggling with fragmented digital ecosystems. The platform's ability to dynamically switch between languages while maintaining institutional data integrity has made it the preferred solution among 24 of the 30 major universities surveyed." - Dr. Elise Dubois, Head of Digital Transformation, Université Libre de Bruxelles</w:t>
      </w:r>
    </w:p>
    <w:p>
      <w:pPr>
        <w:pStyle w:val="BodyText"/>
      </w:pPr>
      <w:r>
        <w:t xml:space="preserve">The Belgian government's recent "Digital Education Action Plan" has further accelerated Professor adoption, with Brussels-based institutions receiving preferential funding for platforms meeting the new interoperability standards—standards Professor fully complies with. This regulatory alignment has been instrumental in securing contracts with 12 public universities across Belgium Brussels within Q2 alone.</w:t>
      </w:r>
    </w:p>
    <w:bookmarkEnd w:id="21"/>
    <w:bookmarkStart w:id="22" w:name="X0dbbd7a6ca07f49882036557a3aff05719eed32"/>
    <w:p>
      <w:pPr>
        <w:pStyle w:val="Heading2"/>
      </w:pPr>
      <w:r>
        <w:t xml:space="preserve">Quantitative Performance Highlights: Belgium Brussels</w:t>
      </w:r>
    </w:p>
    <w:p>
      <w:pPr>
        <w:pStyle w:val="FirstParagraph"/>
      </w:pPr>
      <w:r>
        <w:t xml:space="preserve">This Sales Report quantifies Professor's market leadership through these key metrics:</w:t>
      </w:r>
    </w:p>
    <w:p>
      <w:pPr>
        <w:numPr>
          <w:ilvl w:val="0"/>
          <w:numId w:val="1001"/>
        </w:numPr>
        <w:pStyle w:val="Compact"/>
      </w:pPr>
      <w:r>
        <w:rPr>
          <w:bCs/>
          <w:b/>
        </w:rPr>
        <w:t xml:space="preserve">Market Share Growth:</w:t>
      </w:r>
      <w:r>
        <w:t xml:space="preserve"> </w:t>
      </w:r>
      <w:r>
        <w:t xml:space="preserve">34% increase in institutional contracts within Brussels, capturing 58% of the premium edtech segment</w:t>
      </w:r>
    </w:p>
    <w:p>
      <w:pPr>
        <w:numPr>
          <w:ilvl w:val="0"/>
          <w:numId w:val="1001"/>
        </w:numPr>
        <w:pStyle w:val="Compact"/>
      </w:pPr>
      <w:r>
        <w:rPr>
          <w:bCs/>
          <w:b/>
        </w:rPr>
        <w:t xml:space="preserve">Revenue Impact:</w:t>
      </w:r>
      <w:r>
        <w:t xml:space="preserve"> </w:t>
      </w:r>
      <w:r>
        <w:t xml:space="preserve">€2.1 million in Q2 revenue from Belgium Brussels (67% of total European revenue)</w:t>
      </w:r>
    </w:p>
    <w:p>
      <w:pPr>
        <w:numPr>
          <w:ilvl w:val="0"/>
          <w:numId w:val="1001"/>
        </w:numPr>
        <w:pStyle w:val="Compact"/>
      </w:pPr>
      <w:r>
        <w:rPr>
          <w:bCs/>
          <w:b/>
        </w:rPr>
        <w:t xml:space="preserve">Institutional Acquisition:</w:t>
      </w:r>
      <w:r>
        <w:t xml:space="preserve"> </w:t>
      </w:r>
      <w:r>
        <w:t xml:space="preserve">19 new university/college contracts, including prestigious institutions like KU Leuven Brussels Campus and Vrije Universiteit Brussel</w:t>
      </w:r>
    </w:p>
    <w:p>
      <w:pPr>
        <w:numPr>
          <w:ilvl w:val="0"/>
          <w:numId w:val="1001"/>
        </w:numPr>
        <w:pStyle w:val="Compact"/>
      </w:pPr>
      <w:r>
        <w:rPr>
          <w:bCs/>
          <w:b/>
        </w:rPr>
        <w:t xml:space="preserve">Product Adoption:</w:t>
      </w:r>
      <w:r>
        <w:t xml:space="preserve"> </w:t>
      </w:r>
      <w:r>
        <w:t xml:space="preserve">83% of new contracts include Professor's AI Tutor module (vs. industry average of 42%)</w:t>
      </w:r>
    </w:p>
    <w:p>
      <w:pPr>
        <w:numPr>
          <w:ilvl w:val="0"/>
          <w:numId w:val="1001"/>
        </w:numPr>
        <w:pStyle w:val="Compact"/>
      </w:pPr>
      <w:r>
        <w:rPr>
          <w:bCs/>
          <w:b/>
        </w:rPr>
        <w:t xml:space="preserve">Cross-Sell Success:</w:t>
      </w:r>
      <w:r>
        <w:t xml:space="preserve"> </w:t>
      </w:r>
      <w:r>
        <w:t xml:space="preserve">67% of existing institutions expanded to premium features during Q2</w:t>
      </w:r>
    </w:p>
    <w:p>
      <w:pPr>
        <w:pStyle w:val="FirstParagraph"/>
      </w:pPr>
      <w:r>
        <w:t xml:space="preserve">The data reveals a significant shift in purchasing behavior: Brussels-based educational leaders now actively seek Professor as their primary digital transformation partner. This contrasts sharply with Q1 2023, when only 41% of procurement committees considered Professor in their RFPs. The catalyst for this change has been the platform's successful implementation at the European University Institute (EUI) campus in Brussels—a high-profile reference that accelerated trust across the region.</w:t>
      </w:r>
    </w:p>
    <w:bookmarkEnd w:id="22"/>
    <w:bookmarkStart w:id="26" w:name="X1890446c22c7cc85fc4ef5fda74662c3ce903ae"/>
    <w:p>
      <w:pPr>
        <w:pStyle w:val="Heading2"/>
      </w:pPr>
      <w:r>
        <w:t xml:space="preserve">Strategic Implementation: Why Professor Succeeded in Belgium Brussels</w:t>
      </w:r>
    </w:p>
    <w:p>
      <w:pPr>
        <w:pStyle w:val="FirstParagraph"/>
      </w:pPr>
      <w:r>
        <w:t xml:space="preserve">Our success in Belgium Brussels stems from three strategic pillars that align with local educational priorities:</w:t>
      </w:r>
    </w:p>
    <w:bookmarkStart w:id="23" w:name="cultural-integration"/>
    <w:p>
      <w:pPr>
        <w:pStyle w:val="Heading3"/>
      </w:pPr>
      <w:r>
        <w:t xml:space="preserve">1. Cultural Integration</w:t>
      </w:r>
    </w:p>
    <w:p>
      <w:pPr>
        <w:pStyle w:val="FirstParagraph"/>
      </w:pPr>
      <w:r>
        <w:t xml:space="preserve">We established a dedicated Brussels office staffed by native speakers who understand the intricacies of Belgian academic administration. This localization wasn't superficial—we co-developed French/Dutch interface modules with educators from KU Leuven and ULiège, ensuring Professor resonated with local workflows. The platform now supports 34 distinct institutional templates specific to Belgium's higher education structure, a capability unmatched by global competitors.</w:t>
      </w:r>
    </w:p>
    <w:bookmarkEnd w:id="23"/>
    <w:bookmarkStart w:id="24" w:name="regulatory-alignment"/>
    <w:p>
      <w:pPr>
        <w:pStyle w:val="Heading3"/>
      </w:pPr>
      <w:r>
        <w:t xml:space="preserve">2. Regulatory Alignment</w:t>
      </w:r>
    </w:p>
    <w:p>
      <w:pPr>
        <w:pStyle w:val="FirstParagraph"/>
      </w:pPr>
      <w:r>
        <w:t xml:space="preserve">Professor was among the first platforms certified under Belgium's new GDPR-compliant educational data framework (DSS-EDU). Our Brussels team proactively engaged with the Ministry of Education to align features with the national "Digital Learning Blueprint," resulting in Professor being listed as a preferred solution in all regional procurement guides.</w:t>
      </w:r>
    </w:p>
    <w:bookmarkEnd w:id="24"/>
    <w:bookmarkStart w:id="25" w:name="partnership-ecosystem"/>
    <w:p>
      <w:pPr>
        <w:pStyle w:val="Heading3"/>
      </w:pPr>
      <w:r>
        <w:t xml:space="preserve">3. Partnership Ecosystem</w:t>
      </w:r>
    </w:p>
    <w:p>
      <w:pPr>
        <w:pStyle w:val="FirstParagraph"/>
      </w:pPr>
      <w:r>
        <w:t xml:space="preserve">We forged strategic alliances with key Belgian educational bodies, including the Flemish Higher Education Council and the French Community of Belgium's Academic Commission. These partnerships enabled Professor to participate in government-backed digitalization pilots across 17 Brussels institutions—a critical trust-building mechanism absent from competitors' approaches.</w:t>
      </w:r>
    </w:p>
    <w:bookmarkEnd w:id="25"/>
    <w:bookmarkEnd w:id="26"/>
    <w:bookmarkStart w:id="27" w:name="challenges-and-strategic-response"/>
    <w:p>
      <w:pPr>
        <w:pStyle w:val="Heading2"/>
      </w:pPr>
      <w:r>
        <w:t xml:space="preserve">Challenges and Strategic Response</w:t>
      </w:r>
    </w:p>
    <w:p>
      <w:pPr>
        <w:pStyle w:val="FirstParagraph"/>
      </w:pPr>
      <w:r>
        <w:t xml:space="preserve">Despite strong results, the Belgium Brussels market presented unique obstacles. The region's highly decentralized education administration required navigating 14 different institutional procurement cycles. Additionally, some traditional institutions initially resisted cloud-based solutions due to legacy system dependencies.</w:t>
      </w:r>
    </w:p>
    <w:p>
      <w:pPr>
        <w:pStyle w:val="BodyText"/>
      </w:pPr>
      <w:r>
        <w:t xml:space="preserve">"The initial resistance from certain Brussels institutions was overcome by demonstrating Professor's phased migration capability—allowing seamless data transition without disrupting academic calendars. This approach built credibility where others failed." - Mark Vermeer, Regional Sales Director for Benelux</w:t>
      </w:r>
    </w:p>
    <w:p>
      <w:pPr>
        <w:pStyle w:val="BodyText"/>
      </w:pPr>
      <w:r>
        <w:t xml:space="preserve">Our response included developing a specialized 'Brussels Transition Framework' with 12 dedicated implementation specialists. We also created the Professor Brussels Ambassador Program, training 47 local educators as certified advocates—resulting in peer-to-peer adoption that reduced sales cycles by 38%.</w:t>
      </w:r>
    </w:p>
    <w:bookmarkEnd w:id="27"/>
    <w:bookmarkStart w:id="28" w:name="X4767e1781f570873bff6683a19331e4affaf51a"/>
    <w:p>
      <w:pPr>
        <w:pStyle w:val="Heading2"/>
      </w:pPr>
      <w:r>
        <w:t xml:space="preserve">Future Roadmap: Sustaining Leadership in Belgium Brussels</w:t>
      </w:r>
    </w:p>
    <w:p>
      <w:pPr>
        <w:pStyle w:val="FirstParagraph"/>
      </w:pPr>
      <w:r>
        <w:t xml:space="preserve">This Sales Report concludes with a forward-looking strategy to cement Professor's dominance in Belgium Brussels. Our immediate priorities include:</w:t>
      </w:r>
    </w:p>
    <w:p>
      <w:pPr>
        <w:numPr>
          <w:ilvl w:val="0"/>
          <w:numId w:val="1002"/>
        </w:numPr>
        <w:pStyle w:val="Compact"/>
      </w:pPr>
      <w:r>
        <w:rPr>
          <w:bCs/>
          <w:b/>
        </w:rPr>
        <w:t xml:space="preserve">Expanding the Multilingual Suite:</w:t>
      </w:r>
      <w:r>
        <w:t xml:space="preserve"> </w:t>
      </w:r>
      <w:r>
        <w:t xml:space="preserve">Launching German and Spanish language modules specifically for Brussels' international student population (target launch Q4 2024)</w:t>
      </w:r>
    </w:p>
    <w:p>
      <w:pPr>
        <w:numPr>
          <w:ilvl w:val="0"/>
          <w:numId w:val="1002"/>
        </w:numPr>
        <w:pStyle w:val="Compact"/>
      </w:pPr>
      <w:r>
        <w:rPr>
          <w:bCs/>
          <w:b/>
        </w:rPr>
        <w:t xml:space="preserve">Government Partnership Enhancement:</w:t>
      </w:r>
      <w:r>
        <w:t xml:space="preserve"> </w:t>
      </w:r>
      <w:r>
        <w:t xml:space="preserve">Co-developing a national digital education dashboard with the Belgian Ministry of Education for real-time analytics</w:t>
      </w:r>
    </w:p>
    <w:p>
      <w:pPr>
        <w:numPr>
          <w:ilvl w:val="0"/>
          <w:numId w:val="1002"/>
        </w:numPr>
        <w:pStyle w:val="Compact"/>
      </w:pPr>
      <w:r>
        <w:rPr>
          <w:bCs/>
          <w:b/>
        </w:rPr>
        <w:t xml:space="preserve">Brussels Innovation Hub:</w:t>
      </w:r>
      <w:r>
        <w:t xml:space="preserve"> </w:t>
      </w:r>
      <w:r>
        <w:t xml:space="preserve">Establishing a dedicated R&amp;D center in Leuven to develop region-specific features like EU policy compliance modules</w:t>
      </w:r>
    </w:p>
    <w:p>
      <w:pPr>
        <w:pStyle w:val="FirstParagraph"/>
      </w:pPr>
      <w:r>
        <w:t xml:space="preserve">The projected investment in Belgium Brussels represents 28% of Professor's total European R&amp;D budget for 2024, underscoring our commitment to the region. We project that maintaining this strategic focus will generate €5.3 million in revenue from Belgium Brussels by Q4 2024—representing a 69% growth year-over-year.</w:t>
      </w:r>
    </w:p>
    <w:bookmarkEnd w:id="28"/>
    <w:bookmarkStart w:id="29" w:name="Xe4522a064e7a6923e0483f3cd8c159b1a013e99"/>
    <w:p>
      <w:pPr>
        <w:pStyle w:val="Heading2"/>
      </w:pPr>
      <w:r>
        <w:t xml:space="preserve">Conclusion: Professor's Transformative Impact in Belgium Brussels</w:t>
      </w:r>
    </w:p>
    <w:p>
      <w:pPr>
        <w:pStyle w:val="FirstParagraph"/>
      </w:pPr>
      <w:r>
        <w:t xml:space="preserve">This Sales Report unequivocally demonstrates that Professor has achieved more than market share in Belgium Brussels—it has redefined expectations for educational technology. By deeply understanding the region's academic culture, regulatory environment, and operational realities, Professor has become an indispensable partner rather than merely a vendor. The data reveals a 92% client retention rate among Brussels institutions—far exceeding the industry standard of 76%—proof of Professor's value beyond initial implementation.</w:t>
      </w:r>
    </w:p>
    <w:p>
      <w:pPr>
        <w:pStyle w:val="BodyText"/>
      </w:pPr>
      <w:r>
        <w:t xml:space="preserve">As Belgium's educational sector accelerates its digital transformation, Professor is positioned not just to participate but to lead. Our success in Brussels serves as a blueprint for expansion across the Benelux and Francophone Europe. This Sales Report concludes with a clear mandate: double down on Belgium Brussels investment to capture 75% market share by 2025. The evidence is clear—Professor doesn't just operate in Belgium Brussels; it's becoming synonymous with educational innovation in the heart of Europe.</w:t>
      </w:r>
    </w:p>
    <w:bookmarkEnd w:id="29"/>
    <w:p>
      <w:pPr>
        <w:pStyle w:val="BodyText"/>
      </w:pPr>
      <w:r>
        <w:t xml:space="preserve">CONFIDENTIAL: This Sales Report for Professor is exclusively for internal use and authorized Belgian partners. Prepared by Global Sales Intelligence Team | Date: July 15, 2024 | Page Count: 6</w:t>
      </w:r>
    </w:p>
    <w:p>
      <w:pPr>
        <w:pStyle w:val="BodyText"/>
      </w:pPr>
      <w:r>
        <w:t xml:space="preserve">© 2024 Professor Educational Solutions | Transforming Learning Since 2018</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Professor Market Performance in Belgium Brussels</dc:title>
  <dc:creator/>
  <dc:language>en</dc:language>
  <cp:keywords/>
  <dcterms:created xsi:type="dcterms:W3CDTF">2026-07-23T12:06:37Z</dcterms:created>
  <dcterms:modified xsi:type="dcterms:W3CDTF">2026-07-23T12:06:37Z</dcterms:modified>
</cp:coreProperties>
</file>

<file path=docProps/custom.xml><?xml version="1.0" encoding="utf-8"?>
<Properties xmlns="http://schemas.openxmlformats.org/officeDocument/2006/custom-properties" xmlns:vt="http://schemas.openxmlformats.org/officeDocument/2006/docPropsVTypes"/>
</file>