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9" w:name="X71b7b239fd70ea97c01bc27fa7c6a4eade3b312"/>
    <w:p>
      <w:pPr>
        <w:pStyle w:val="Heading1"/>
      </w:pPr>
      <w:r>
        <w:t xml:space="preserve">Sales Report for Professor Education Solutions</w:t>
      </w:r>
    </w:p>
    <w:bookmarkStart w:id="20" w:name="X5f96f520da66a1e35ecb03e0cb0b738205259aa"/>
    <w:p>
      <w:pPr>
        <w:pStyle w:val="Heading2"/>
      </w:pPr>
      <w:r>
        <w:t xml:space="preserve">Canada Montreal Market Performance Analysis (Q3 2023)</w:t>
      </w:r>
    </w:p>
    <w:p>
      <w:pPr>
        <w:pStyle w:val="FirstParagraph"/>
      </w:pPr>
      <w:r>
        <w:t xml:space="preserve">Prepared for Executive Leadership | October 15, 2023</w:t>
      </w:r>
    </w:p>
    <w:bookmarkEnd w:id="20"/>
    <w:bookmarkStart w:id="21" w:name="executive-summary"/>
    <w:p>
      <w:pPr>
        <w:pStyle w:val="Heading2"/>
      </w:pPr>
      <w:r>
        <w:t xml:space="preserve">Executive Summary</w:t>
      </w:r>
    </w:p>
    <w:p>
      <w:pPr>
        <w:pStyle w:val="FirstParagraph"/>
      </w:pPr>
      <w:r>
        <w:t xml:space="preserve">The Professor Sales Report for Canada Montreal demonstrates robust growth in the educational technology sector, with a 37% year-over-year increase in revenue. This performance positions Professor as a leading provider of AI-driven academic solutions across Quebec's post-secondary institutions. The Montreal market has become our most valuable regional hub, contributing 42% of all Canadian sales and exhibiting exceptional customer retention rates (89%). This report details strategic wins, market-specific challenges, and growth opportunities uniquely relevant to the Canada Montreal landscape.</w:t>
      </w:r>
    </w:p>
    <w:bookmarkEnd w:id="21"/>
    <w:bookmarkStart w:id="22" w:name="Xc376fe07b18fe3f40130f4eaab8718ef9b6c001"/>
    <w:p>
      <w:pPr>
        <w:pStyle w:val="Heading2"/>
      </w:pPr>
      <w:r>
        <w:t xml:space="preserve">Market Context: Professor's Position in Canada Montreal</w:t>
      </w:r>
    </w:p>
    <w:p>
      <w:pPr>
        <w:pStyle w:val="FirstParagraph"/>
      </w:pPr>
      <w:r>
        <w:t xml:space="preserve">As an education technology pioneer headquartered in Montreal since 2018, Professor has deeply integrated with the city's academic ecosystem. The Canada Montreal market represents a $147M educational software opportunity, where our solution portfolio (including AI essay grading and student analytics) has captured 23% market share – significantly above the industry average of 15%. This success stems from strategic partnerships with McGill University, Université de Montréal, and CEGEPs across the province. Our localized approach to bilingual content delivery (French/English) has proven critical in winning institutional contracts in this francophone-majority market.</w:t>
      </w:r>
    </w:p>
    <w:bookmarkEnd w:id="22"/>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Revenue (CAD)</w:t>
      </w:r>
    </w:p>
    <w:p>
      <w:pPr>
        <w:pStyle w:val="BodyText"/>
      </w:pPr>
      <w:r>
        <w:t xml:space="preserve">$1,845,000</w:t>
      </w:r>
    </w:p>
    <w:p>
      <w:pPr>
        <w:pStyle w:val="BodyText"/>
      </w:pPr>
      <w:r>
        <w:t xml:space="preserve">$1,347,000</w:t>
      </w:r>
    </w:p>
    <w:p>
      <w:pPr>
        <w:pStyle w:val="BodyText"/>
      </w:pPr>
      <w:r>
        <w:t xml:space="preserve">+37.0%</w:t>
      </w:r>
    </w:p>
    <w:p>
      <w:pPr>
        <w:pStyle w:val="BodyText"/>
      </w:pPr>
      <w:r>
        <w:t xml:space="preserve">New Institutional Clients</w:t>
      </w:r>
    </w:p>
    <w:p>
      <w:pPr>
        <w:pStyle w:val="BodyText"/>
      </w:pPr>
      <w:r>
        <w:t xml:space="preserve">12</w:t>
      </w:r>
    </w:p>
    <w:p>
      <w:pPr>
        <w:pStyle w:val="BodyText"/>
      </w:pPr>
      <w:r>
        <w:t xml:space="preserve">8</w:t>
      </w:r>
    </w:p>
    <w:p>
      <w:pPr>
        <w:pStyle w:val="BodyText"/>
      </w:pPr>
      <w:r>
        <w:t xml:space="preserve">+50.0%</w:t>
      </w:r>
    </w:p>
    <w:p>
      <w:pPr>
        <w:pStyle w:val="BodyText"/>
      </w:pPr>
      <w:r>
        <w:t xml:space="preserve">Renewal Rate (Institutions)</w:t>
      </w:r>
    </w:p>
    <w:p>
      <w:pPr>
        <w:pStyle w:val="BodyText"/>
      </w:pPr>
      <w:r>
        <w:t xml:space="preserve">89%</w:t>
      </w:r>
    </w:p>
    <w:p>
      <w:pPr>
        <w:pStyle w:val="BodyText"/>
      </w:pPr>
      <w:r>
        <w:t xml:space="preserve">84%</w:t>
      </w:r>
    </w:p>
    <w:p>
      <w:pPr>
        <w:pStyle w:val="BodyText"/>
      </w:pPr>
      <w:r>
        <w:t xml:space="preserve">+5.0 pts</w:t>
      </w:r>
    </w:p>
    <w:p>
      <w:pPr>
        <w:pStyle w:val="BodyText"/>
      </w:pPr>
      <w:r>
        <w:t xml:space="preserve">Product Adoption Rate</w:t>
      </w:r>
    </w:p>
    <w:p>
      <w:pPr>
        <w:pStyle w:val="BodyText"/>
      </w:pPr>
      <w:r>
        <w:t xml:space="preserve">67%</w:t>
      </w:r>
    </w:p>
    <w:p>
      <w:pPr>
        <w:pStyle w:val="BodyText"/>
      </w:pPr>
      <w:r>
        <w:t xml:space="preserve">59%</w:t>
      </w:r>
    </w:p>
    <w:p>
      <w:pPr>
        <w:pStyle w:val="BodyText"/>
      </w:pPr>
      <w:r>
        <w:t xml:space="preserve">+8.0 pts</w:t>
      </w:r>
    </w:p>
    <w:p>
      <w:pPr>
        <w:pStyle w:val="BodyText"/>
      </w:pPr>
      <w:r>
        <w:t xml:space="preserve">The Montreal sales team achieved exceptional results through targeted initiatives addressing local educational priorities. Our "Professor Mentor" program, designed specifically for Quebec's pedagogical framework, increased upsell opportunities by 22% in Q3. Notable wins include the University of Montreal's $350K contract for campus-wide implementation and three major CEGEP networks securing multi-year agreements.</w:t>
      </w:r>
    </w:p>
    <w:bookmarkEnd w:id="23"/>
    <w:bookmarkStart w:id="24" w:name="canada-montreal-market-analysis"/>
    <w:p>
      <w:pPr>
        <w:pStyle w:val="Heading2"/>
      </w:pPr>
      <w:r>
        <w:t xml:space="preserve">Canada Montreal Market Analysis</w:t>
      </w:r>
    </w:p>
    <w:p>
      <w:pPr>
        <w:pStyle w:val="FirstParagraph"/>
      </w:pPr>
      <w:r>
        <w:t xml:space="preserve">Montreal represents a unique educational ecosystem requiring specialized sales approaches. The city's high concentration of universities (8+), language requirements, and provincial education policies create both opportunities and challenges. Professor's success stems from our deep understanding of Quebec's Ministry of Education regulations and our bilingual service teams in Canada Montreal.</w:t>
      </w:r>
    </w:p>
    <w:p>
      <w:pPr>
        <w:pStyle w:val="BodyText"/>
      </w:pPr>
      <w:r>
        <w:t xml:space="preserve">Key market trends influencing sales:</w:t>
      </w:r>
    </w:p>
    <w:p>
      <w:pPr>
        <w:numPr>
          <w:ilvl w:val="0"/>
          <w:numId w:val="1001"/>
        </w:numPr>
        <w:pStyle w:val="Compact"/>
      </w:pPr>
      <w:r>
        <w:rPr>
          <w:bCs/>
          <w:b/>
        </w:rPr>
        <w:t xml:space="preserve">Bilingual Compliance:</w:t>
      </w:r>
      <w:r>
        <w:t xml:space="preserve"> </w:t>
      </w:r>
      <w:r>
        <w:t xml:space="preserve">78% of institutional contracts now mandate French-language interface support – a requirement Professor met before competitors.</w:t>
      </w:r>
    </w:p>
    <w:p>
      <w:pPr>
        <w:numPr>
          <w:ilvl w:val="0"/>
          <w:numId w:val="1001"/>
        </w:numPr>
        <w:pStyle w:val="Compact"/>
      </w:pPr>
      <w:r>
        <w:rPr>
          <w:bCs/>
          <w:b/>
        </w:rPr>
        <w:t xml:space="preserve">AI Adoption Push:</w:t>
      </w:r>
      <w:r>
        <w:t xml:space="preserve"> </w:t>
      </w:r>
      <w:r>
        <w:t xml:space="preserve">Quebec's $200M AI in Education initiative accelerated demand for our predictive analytics tools.</w:t>
      </w:r>
    </w:p>
    <w:p>
      <w:pPr>
        <w:numPr>
          <w:ilvl w:val="0"/>
          <w:numId w:val="1001"/>
        </w:numPr>
        <w:pStyle w:val="Compact"/>
      </w:pPr>
      <w:r>
        <w:rPr>
          <w:bCs/>
          <w:b/>
        </w:rPr>
        <w:t xml:space="preserve">Talent Shortage:</w:t>
      </w:r>
      <w:r>
        <w:t xml:space="preserve"> </w:t>
      </w:r>
      <w:r>
        <w:t xml:space="preserve">Montreal's 45% faculty turnover rate increased demand for Professor's automated grading solutions.</w:t>
      </w:r>
    </w:p>
    <w:bookmarkEnd w:id="24"/>
    <w:bookmarkStart w:id="25" w:name="strategic-initiatives-driving-success"/>
    <w:p>
      <w:pPr>
        <w:pStyle w:val="Heading2"/>
      </w:pPr>
      <w:r>
        <w:t xml:space="preserve">Strategic Initiatives Driving Success</w:t>
      </w:r>
    </w:p>
    <w:p>
      <w:pPr>
        <w:pStyle w:val="FirstParagraph"/>
      </w:pPr>
      <w:r>
        <w:t xml:space="preserve">The Montreal sales strategy focuses on three pillars critical to our Canada Montreal operations:</w:t>
      </w:r>
    </w:p>
    <w:p>
      <w:pPr>
        <w:numPr>
          <w:ilvl w:val="0"/>
          <w:numId w:val="1002"/>
        </w:numPr>
        <w:pStyle w:val="Compact"/>
      </w:pPr>
      <w:r>
        <w:rPr>
          <w:bCs/>
          <w:b/>
        </w:rPr>
        <w:t xml:space="preserve">Localized Product Development:</w:t>
      </w:r>
      <w:r>
        <w:t xml:space="preserve"> </w:t>
      </w:r>
      <w:r>
        <w:t xml:space="preserve">We established a dedicated R&amp;D team in downtown Montreal working directly with Quebec educators. This resulted in the "Professeur" French-language interface now used by 92% of our Montreal clients.</w:t>
      </w:r>
    </w:p>
    <w:p>
      <w:pPr>
        <w:numPr>
          <w:ilvl w:val="0"/>
          <w:numId w:val="1002"/>
        </w:numPr>
        <w:pStyle w:val="Compact"/>
      </w:pPr>
      <w:r>
        <w:rPr>
          <w:bCs/>
          <w:b/>
        </w:rPr>
        <w:t xml:space="preserve">Community Integration:</w:t>
      </w:r>
      <w:r>
        <w:t xml:space="preserve"> </w:t>
      </w:r>
      <w:r>
        <w:t xml:space="preserve">Professor sponsors Montreal's annual EdTech Summit and partners with Concordia University on AI literacy workshops, building trust within academic circles.</w:t>
      </w:r>
    </w:p>
    <w:p>
      <w:pPr>
        <w:numPr>
          <w:ilvl w:val="0"/>
          <w:numId w:val="1002"/>
        </w:numPr>
        <w:pStyle w:val="Compact"/>
      </w:pPr>
      <w:r>
        <w:rPr>
          <w:bCs/>
          <w:b/>
        </w:rPr>
        <w:t xml:space="preserve">Policy Alignment:</w:t>
      </w:r>
      <w:r>
        <w:t xml:space="preserve"> </w:t>
      </w:r>
      <w:r>
        <w:t xml:space="preserve">Our team actively participates in Quebec Education Ministry working groups to ensure compliance with upcoming regulations like Bill 101 digital requirements.</w:t>
      </w:r>
    </w:p>
    <w:bookmarkEnd w:id="25"/>
    <w:bookmarkStart w:id="26" w:name="X2422752b68c05bc2a5aeff1f85336c7b9748b4c"/>
    <w:p>
      <w:pPr>
        <w:pStyle w:val="Heading2"/>
      </w:pPr>
      <w:r>
        <w:t xml:space="preserve">Challenges in the Canada Montreal Context</w:t>
      </w:r>
    </w:p>
    <w:p>
      <w:pPr>
        <w:pStyle w:val="FirstParagraph"/>
      </w:pPr>
      <w:r>
        <w:t xml:space="preserve">Despite strong performance, three market-specific challenges require ongoing attention:</w:t>
      </w:r>
    </w:p>
    <w:p>
      <w:pPr>
        <w:numPr>
          <w:ilvl w:val="0"/>
          <w:numId w:val="1003"/>
        </w:numPr>
        <w:pStyle w:val="Compact"/>
      </w:pPr>
      <w:r>
        <w:rPr>
          <w:bCs/>
          <w:b/>
        </w:rPr>
        <w:t xml:space="preserve">Cultural Nuances:</w:t>
      </w:r>
      <w:r>
        <w:t xml:space="preserve"> </w:t>
      </w:r>
      <w:r>
        <w:t xml:space="preserve">Initial resistance from French-speaking faculty regarding AI's role in grading required extensive cultural adaptation of our sales approach.</w:t>
      </w:r>
    </w:p>
    <w:p>
      <w:pPr>
        <w:numPr>
          <w:ilvl w:val="0"/>
          <w:numId w:val="1003"/>
        </w:numPr>
        <w:pStyle w:val="Compact"/>
      </w:pPr>
      <w:r>
        <w:rPr>
          <w:bCs/>
          <w:b/>
        </w:rPr>
        <w:t xml:space="preserve">Competition Pressure:</w:t>
      </w:r>
      <w:r>
        <w:t xml:space="preserve"> </w:t>
      </w:r>
      <w:r>
        <w:t xml:space="preserve">Local vendor "ÉduSolutions" leveraged government contracts to undercut pricing in Q2, requiring Professor to refine our value-based selling.</w:t>
      </w:r>
    </w:p>
    <w:p>
      <w:pPr>
        <w:numPr>
          <w:ilvl w:val="0"/>
          <w:numId w:val="1003"/>
        </w:numPr>
        <w:pStyle w:val="Compact"/>
      </w:pPr>
      <w:r>
        <w:rPr>
          <w:bCs/>
          <w:b/>
        </w:rPr>
        <w:t xml:space="preserve">Regulatory Complexity:</w:t>
      </w:r>
      <w:r>
        <w:t xml:space="preserve"> </w:t>
      </w:r>
      <w:r>
        <w:t xml:space="preserve">Quebec's distinct educational governance demands customized contract terms compared to other Canadian provinces.</w:t>
      </w:r>
    </w:p>
    <w:bookmarkEnd w:id="26"/>
    <w:bookmarkStart w:id="27" w:name="X55f17acf5a474727a31bdfd26120baa9f804d37"/>
    <w:p>
      <w:pPr>
        <w:pStyle w:val="Heading2"/>
      </w:pPr>
      <w:r>
        <w:t xml:space="preserve">Future Strategy: Scaling Professor in Canada Montreal</w:t>
      </w:r>
    </w:p>
    <w:p>
      <w:pPr>
        <w:pStyle w:val="FirstParagraph"/>
      </w:pPr>
      <w:r>
        <w:t xml:space="preserve">The next phase focuses on cementing Professor's leadership in the Canada Montreal market through:</w:t>
      </w:r>
    </w:p>
    <w:p>
      <w:pPr>
        <w:numPr>
          <w:ilvl w:val="0"/>
          <w:numId w:val="1004"/>
        </w:numPr>
        <w:pStyle w:val="Compact"/>
      </w:pPr>
      <w:r>
        <w:rPr>
          <w:bCs/>
          <w:b/>
        </w:rPr>
        <w:t xml:space="preserve">Expansion into K-12:</w:t>
      </w:r>
      <w:r>
        <w:t xml:space="preserve"> </w:t>
      </w:r>
      <w:r>
        <w:t xml:space="preserve">Partnering with Montreal school boards to deploy our literacy tools – an $89M untapped market segment.</w:t>
      </w:r>
    </w:p>
    <w:p>
      <w:pPr>
        <w:numPr>
          <w:ilvl w:val="0"/>
          <w:numId w:val="1004"/>
        </w:numPr>
        <w:pStyle w:val="Compact"/>
      </w:pPr>
      <w:r>
        <w:rPr>
          <w:bCs/>
          <w:b/>
        </w:rPr>
        <w:t xml:space="preserve">Montreal Innovation Hub:</w:t>
      </w:r>
      <w:r>
        <w:t xml:space="preserve"> </w:t>
      </w:r>
      <w:r>
        <w:t xml:space="preserve">Launching a dedicated R&amp;D center at the Pointe-à-Callière Museum site to co-create solutions with local educators.</w:t>
      </w:r>
    </w:p>
    <w:p>
      <w:pPr>
        <w:numPr>
          <w:ilvl w:val="0"/>
          <w:numId w:val="1004"/>
        </w:numPr>
        <w:pStyle w:val="Compact"/>
      </w:pPr>
      <w:r>
        <w:rPr>
          <w:bCs/>
          <w:b/>
        </w:rPr>
        <w:t xml:space="preserve">Sustainability Integration:</w:t>
      </w:r>
      <w:r>
        <w:t xml:space="preserve"> </w:t>
      </w:r>
      <w:r>
        <w:t xml:space="preserve">Developing "EcoProfessor" module addressing Montreal's 2030 carbon neutrality goals in educational operations.</w:t>
      </w:r>
    </w:p>
    <w:bookmarkEnd w:id="27"/>
    <w:bookmarkStart w:id="28" w:name="conclusion"/>
    <w:p>
      <w:pPr>
        <w:pStyle w:val="Heading2"/>
      </w:pPr>
      <w:r>
        <w:t xml:space="preserve">Conclusion</w:t>
      </w:r>
    </w:p>
    <w:p>
      <w:pPr>
        <w:pStyle w:val="FirstParagraph"/>
      </w:pPr>
      <w:r>
        <w:t xml:space="preserve">The Professor Sales Report confirms our strategic focus on Canada Montreal is yielding exceptional results. By embedding ourselves within the local educational fabric – respecting linguistic identity, regulatory context, and pedagogical traditions – we've transformed Professor from a vendor into an indispensable partner for Quebec's academic community. Our Q3 performance exceeds all Montreal market targets by 28%, and with the upcoming Quebec Education Ministry digital transformation program (announced September 2023), we project a 45% revenue increase for Q1 2024.</w:t>
      </w:r>
    </w:p>
    <w:p>
      <w:pPr>
        <w:pStyle w:val="BodyText"/>
      </w:pPr>
      <w:r>
        <w:t xml:space="preserve">As the premier provider of AI-enhanced education solutions in Canada Montreal, Professor isn't just selling software – we're shaping the future of learning in our city. The success documented in this Sales Report validates our commitment to local market intelligence and culturally intelligent sales practices. We recommend doubling down on Montreal-based innovation initiatives to maintain this momentum while expanding into adjacent educational segments across Quebec.</w:t>
      </w:r>
    </w:p>
    <w:p>
      <w:pPr>
        <w:pStyle w:val="BodyText"/>
      </w:pPr>
      <w:r>
        <w:t xml:space="preserve">Prepared by Professor Sales Strategy Group | Montreal Office</w:t>
      </w:r>
    </w:p>
    <w:p>
      <w:pPr>
        <w:pStyle w:val="BodyText"/>
      </w:pPr>
      <w:r>
        <w:t xml:space="preserve">For further details, contact sales@professor.education | +1 (514) 555-0199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Canada Montreal Market Analysis</dc:title>
  <dc:creator/>
  <dc:language>en</dc:language>
  <cp:keywords/>
  <dcterms:created xsi:type="dcterms:W3CDTF">2026-07-21T14:07:50Z</dcterms:created>
  <dcterms:modified xsi:type="dcterms:W3CDTF">2026-07-21T14:07:50Z</dcterms:modified>
</cp:coreProperties>
</file>

<file path=docProps/custom.xml><?xml version="1.0" encoding="utf-8"?>
<Properties xmlns="http://schemas.openxmlformats.org/officeDocument/2006/custom-properties" xmlns:vt="http://schemas.openxmlformats.org/officeDocument/2006/docPropsVTypes"/>
</file>