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7" w:name="Xc4be6e1e2e8e11a8a17e565d26ed601fcf74695"/>
    <w:p>
      <w:pPr>
        <w:pStyle w:val="Heading1"/>
      </w:pPr>
      <w:r>
        <w:t xml:space="preserve">Official Sales Report: Professor Product Line Performance in Canada Toronto Market (Q1 2024)</w:t>
      </w:r>
    </w:p>
    <w:p>
      <w:pPr>
        <w:pStyle w:val="FirstParagraph"/>
      </w:pPr>
      <w:r>
        <w:rPr>
          <w:bCs/>
          <w:b/>
        </w:rPr>
        <w:t xml:space="preserve">Date:</w:t>
      </w:r>
      <w:r>
        <w:t xml:space="preserve"> </w:t>
      </w:r>
      <w:r>
        <w:t xml:space="preserve">April 15, 2024</w:t>
      </w:r>
      <w:r>
        <w:br/>
      </w:r>
      <w:r>
        <w:rPr>
          <w:bCs/>
          <w:b/>
        </w:rPr>
        <w:t xml:space="preserve">Prepared For:</w:t>
      </w:r>
      <w:r>
        <w:t xml:space="preserve"> </w:t>
      </w:r>
      <w:r>
        <w:t xml:space="preserve">Executive Leadership Team, Professor Global Holdings</w:t>
      </w:r>
      <w:r>
        <w:br/>
      </w:r>
      <w:r>
        <w:rPr>
          <w:bCs/>
          <w:b/>
        </w:rPr>
        <w:t xml:space="preserve">Region Covered:</w:t>
      </w:r>
      <w:r>
        <w:t xml:space="preserve"> </w:t>
      </w:r>
      <w:r>
        <w:t xml:space="preserve">Canada Toronto Metropolitan Area</w:t>
      </w:r>
    </w:p>
    <w:bookmarkStart w:id="20" w:name="i.-executive-summary"/>
    <w:p>
      <w:pPr>
        <w:pStyle w:val="Heading2"/>
      </w:pPr>
      <w:r>
        <w:t xml:space="preserve">I. Executive Summary</w:t>
      </w:r>
    </w:p>
    <w:p>
      <w:pPr>
        <w:pStyle w:val="FirstParagraph"/>
      </w:pPr>
      <w:r>
        <w:t xml:space="preserve">This Sales Report presents comprehensive performance analysis of the Professor product line across the Canada Toronto market during Q1 2024. The report confirms that our premium educational technology solution, branded as "Professor," achieved a remarkable 37% year-over-year growth in sales within Toronto's key metropolitan districts. This represents an industry-leading performance compared to all major competitors in Canada's $420M edtech market. The Professor initiative has established itself as the dominant force in Toronto's academic technology landscape, with particular success among secondary schools and post-secondary institutions across Ontario.</w:t>
      </w:r>
    </w:p>
    <w:bookmarkEnd w:id="20"/>
    <w:bookmarkStart w:id="21" w:name="ii.-sales-performance-overview"/>
    <w:p>
      <w:pPr>
        <w:pStyle w:val="Heading2"/>
      </w:pPr>
      <w:r>
        <w:t xml:space="preserve">II. Sales Performance Overview</w:t>
      </w:r>
    </w:p>
    <w:p>
      <w:pPr>
        <w:pStyle w:val="FirstParagraph"/>
      </w:pPr>
      <w:r>
        <w:t xml:space="preserve">The Canada Toronto market contributed $18.7 million to global Professor sales in Q1 2024, representing a 37% increase from $13.6 million in Q1 2023. This growth significantly outpaces the regional edtech market average of 19%. The Toronto region now accounts for 28% of all Canadian Professor sales, up from 24% in Q4 2023, demonstrating accelerating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(CAD)</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Q1 2023</w:t>
            </w:r>
          </w:p>
        </w:tc>
        <w:tc>
          <w:tcPr/>
          <w:p>
            <w:pPr>
              <w:pStyle w:val="Compact"/>
              <w:jc w:val="left"/>
            </w:pPr>
            <w:r>
              <w:t xml:space="preserve">$13.6M</w:t>
            </w:r>
          </w:p>
        </w:tc>
        <w:tc>
          <w:tcPr/>
          <w:p>
            <w:pPr>
              <w:pStyle w:val="Compact"/>
              <w:jc w:val="left"/>
            </w:pPr>
            <w:r>
              <w:t xml:space="preserve">-</w:t>
            </w:r>
          </w:p>
        </w:tc>
        <w:tc>
          <w:tcPr/>
          <w:p>
            <w:pPr>
              <w:pStyle w:val="Compact"/>
              <w:jc w:val="left"/>
            </w:pPr>
            <w:r>
              <w:t xml:space="preserve">24%</w:t>
            </w:r>
          </w:p>
        </w:tc>
      </w:tr>
      <w:tr>
        <w:tc>
          <w:tcPr/>
          <w:p>
            <w:pPr>
              <w:pStyle w:val="Compact"/>
              <w:jc w:val="left"/>
            </w:pPr>
            <w:r>
              <w:t xml:space="preserve">Q1 2024</w:t>
            </w:r>
          </w:p>
        </w:tc>
        <w:tc>
          <w:tcPr/>
          <w:p>
            <w:pPr>
              <w:pStyle w:val="Compact"/>
              <w:jc w:val="left"/>
            </w:pPr>
            <w:r>
              <w:t xml:space="preserve">$18.7M</w:t>
            </w:r>
          </w:p>
        </w:tc>
        <w:tc>
          <w:tcPr/>
          <w:p>
            <w:pPr>
              <w:pStyle w:val="Compact"/>
              <w:jc w:val="left"/>
            </w:pPr>
            <w:r>
              <w:t xml:space="preserve">37%</w:t>
            </w:r>
          </w:p>
        </w:tc>
        <w:tc>
          <w:tcPr/>
          <w:p>
            <w:pPr>
              <w:pStyle w:val="Compact"/>
              <w:jc w:val="left"/>
            </w:pPr>
            <w:r>
              <w:t xml:space="preserve">28%</w:t>
            </w:r>
          </w:p>
        </w:tc>
      </w:tr>
    </w:tbl>
    <w:p>
      <w:pPr>
        <w:pStyle w:val="BodyText"/>
      </w:pPr>
      <w:r>
        <w:t xml:space="preserve">The Professor sales engine in Toronto demonstrates exceptional performance across all key segments:</w:t>
      </w:r>
    </w:p>
    <w:p>
      <w:pPr>
        <w:numPr>
          <w:ilvl w:val="0"/>
          <w:numId w:val="1001"/>
        </w:numPr>
        <w:pStyle w:val="Compact"/>
      </w:pPr>
      <w:r>
        <w:rPr>
          <w:bCs/>
          <w:b/>
        </w:rPr>
        <w:t xml:space="preserve">Schools (K-12):</w:t>
      </w:r>
      <w:r>
        <w:t xml:space="preserve"> </w:t>
      </w:r>
      <w:r>
        <w:t xml:space="preserve">$9.2M (+41% YoY) - Dominating 32% of the Toronto public school edtech budget</w:t>
      </w:r>
    </w:p>
    <w:p>
      <w:pPr>
        <w:numPr>
          <w:ilvl w:val="0"/>
          <w:numId w:val="1001"/>
        </w:numPr>
        <w:pStyle w:val="Compact"/>
      </w:pPr>
      <w:r>
        <w:rPr>
          <w:bCs/>
          <w:b/>
        </w:rPr>
        <w:t xml:space="preserve">Post-Secondary Institutions:</w:t>
      </w:r>
      <w:r>
        <w:t xml:space="preserve"> </w:t>
      </w:r>
      <w:r>
        <w:t xml:space="preserve">$6.8M (+34% YoY) - Securing 47% market share at University of Toronto</w:t>
      </w:r>
    </w:p>
    <w:p>
      <w:pPr>
        <w:numPr>
          <w:ilvl w:val="0"/>
          <w:numId w:val="1001"/>
        </w:numPr>
        <w:pStyle w:val="Compact"/>
      </w:pPr>
      <w:r>
        <w:rPr>
          <w:bCs/>
          <w:b/>
        </w:rPr>
        <w:t xml:space="preserve">Corporate Training:</w:t>
      </w:r>
      <w:r>
        <w:t xml:space="preserve"> </w:t>
      </w:r>
      <w:r>
        <w:t xml:space="preserve">$2.7M (+29% YoY) - Significant growth in finance and healthcare sectors</w:t>
      </w:r>
    </w:p>
    <w:bookmarkEnd w:id="21"/>
    <w:bookmarkStart w:id="22" w:name="iii.-canada-toronto-market-analysis"/>
    <w:p>
      <w:pPr>
        <w:pStyle w:val="Heading2"/>
      </w:pPr>
      <w:r>
        <w:t xml:space="preserve">III. Canada Toronto Market Analysis</w:t>
      </w:r>
    </w:p>
    <w:p>
      <w:pPr>
        <w:pStyle w:val="FirstParagraph"/>
      </w:pPr>
      <w:r>
        <w:t xml:space="preserve">The Toronto edtech market has evolved rapidly following the Ontario government's 2023 digital learning mandate, creating unprecedented opportunity for Professor. Our localized implementation strategy proved decisive:</w:t>
      </w:r>
    </w:p>
    <w:p>
      <w:pPr>
        <w:pStyle w:val="BodyText"/>
      </w:pPr>
      <w:r>
        <w:rPr>
          <w:bCs/>
          <w:b/>
        </w:rPr>
        <w:t xml:space="preserve">Key Growth Drivers in Canada Toronto:</w:t>
      </w:r>
    </w:p>
    <w:p>
      <w:pPr>
        <w:numPr>
          <w:ilvl w:val="0"/>
          <w:numId w:val="1002"/>
        </w:numPr>
        <w:pStyle w:val="Compact"/>
      </w:pPr>
      <w:r>
        <w:t xml:space="preserve">Government Partnerships: Successful collaboration with Ontario Ministry of Education on the "Digital Classrooms Initiative" directly boosted Professor adoption by 28% in public schools</w:t>
      </w:r>
    </w:p>
    <w:p>
      <w:pPr>
        <w:numPr>
          <w:ilvl w:val="0"/>
          <w:numId w:val="1002"/>
        </w:numPr>
        <w:pStyle w:val="Compact"/>
      </w:pPr>
      <w:r>
        <w:t xml:space="preserve">Cultural Alignment: The Professor platform's bilingual (English/French) interface and culturally relevant curriculum modules resonated strongly with Toronto's diverse student population (71% visible minorities)</w:t>
      </w:r>
    </w:p>
    <w:p>
      <w:pPr>
        <w:numPr>
          <w:ilvl w:val="0"/>
          <w:numId w:val="1002"/>
        </w:numPr>
        <w:pStyle w:val="Compact"/>
      </w:pPr>
      <w:r>
        <w:t xml:space="preserve">Localized Support: Establishment of our Toronto-based technical support hub reduced response times by 63% compared to previous remote service model</w:t>
      </w:r>
    </w:p>
    <w:p>
      <w:pPr>
        <w:numPr>
          <w:ilvl w:val="0"/>
          <w:numId w:val="1002"/>
        </w:numPr>
        <w:pStyle w:val="Compact"/>
      </w:pPr>
      <w:r>
        <w:t xml:space="preserve">University Alliances: Strategic partnerships with Ryerson University and York University generated significant campus-wide adoption through faculty endorsement programs</w:t>
      </w:r>
    </w:p>
    <w:p>
      <w:pPr>
        <w:pStyle w:val="FirstParagraph"/>
      </w:pPr>
      <w:r>
        <w:t xml:space="preserve">Compared to competitors, Professor's Toronto market share increased from 24% to 28% due to our superior customer retention rate of 89% (industry average: 67%). The sales team's deep understanding of Canada Toronto's educational nuances—particularly regarding Ontario curriculum requirements and assessment standards—proved critical in closing enterprise deals.</w:t>
      </w:r>
    </w:p>
    <w:bookmarkEnd w:id="22"/>
    <w:bookmarkStart w:id="23" w:name="Xbdc84df146e076c39f7873a469241c3dcd49139"/>
    <w:p>
      <w:pPr>
        <w:pStyle w:val="Heading2"/>
      </w:pPr>
      <w:r>
        <w:t xml:space="preserve">IV. Professor Product Performance Highlights</w:t>
      </w:r>
    </w:p>
    <w:p>
      <w:pPr>
        <w:pStyle w:val="FirstParagraph"/>
      </w:pPr>
      <w:r>
        <w:t xml:space="preserve">The "Professor" brand delivered exceptional results through its flagship product suite: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Line</w:t>
            </w:r>
          </w:p>
        </w:tc>
        <w:tc>
          <w:tcPr/>
          <w:p>
            <w:pPr>
              <w:pStyle w:val="Compact"/>
              <w:jc w:val="left"/>
            </w:pPr>
            <w:r>
              <w:t xml:space="preserve">Revenue Contribution (CAD)</w:t>
            </w:r>
          </w:p>
        </w:tc>
        <w:tc>
          <w:tcPr/>
          <w:p>
            <w:pPr>
              <w:pStyle w:val="Compact"/>
              <w:jc w:val="left"/>
            </w:pPr>
            <w:r>
              <w:t xml:space="preserve">Growth Rate</w:t>
            </w:r>
          </w:p>
        </w:tc>
      </w:tr>
      <w:tr>
        <w:tc>
          <w:tcPr/>
          <w:p>
            <w:pPr>
              <w:pStyle w:val="Compact"/>
              <w:jc w:val="left"/>
            </w:pPr>
            <w:r>
              <w:t xml:space="preserve">Professor Learning Platform (LMS)</w:t>
            </w:r>
          </w:p>
        </w:tc>
        <w:tc>
          <w:tcPr/>
          <w:p>
            <w:pPr>
              <w:pStyle w:val="Compact"/>
              <w:jc w:val="left"/>
            </w:pPr>
            <w:r>
              <w:t xml:space="preserve">$11.2M</w:t>
            </w:r>
          </w:p>
        </w:tc>
        <w:tc>
          <w:tcPr/>
          <w:p>
            <w:pPr>
              <w:pStyle w:val="Compact"/>
              <w:jc w:val="left"/>
            </w:pPr>
            <w:r>
              <w:t xml:space="preserve">42% YoY</w:t>
            </w:r>
          </w:p>
        </w:tc>
      </w:tr>
      <w:tr>
        <w:tc>
          <w:tcPr/>
          <w:p>
            <w:pPr>
              <w:pStyle w:val="Compact"/>
              <w:jc w:val="left"/>
            </w:pPr>
            <w:r>
              <w:t xml:space="preserve">Professor AI Tutor Modules</w:t>
            </w:r>
          </w:p>
        </w:tc>
        <w:tc>
          <w:tcPr/>
          <w:p>
            <w:pPr>
              <w:pStyle w:val="Compact"/>
              <w:jc w:val="left"/>
            </w:pPr>
            <w:r>
              <w:t xml:space="preserve">$4.8M</w:t>
            </w:r>
          </w:p>
        </w:tc>
        <w:tc>
          <w:tcPr/>
          <w:p>
            <w:pPr>
              <w:pStyle w:val="Compact"/>
              <w:jc w:val="left"/>
            </w:pPr>
            <w:r>
              <w:t xml:space="preserve">31% YoY</w:t>
            </w:r>
          </w:p>
        </w:tc>
      </w:tr>
      <w:tr>
        <w:tc>
          <w:tcPr/>
          <w:p>
            <w:pPr>
              <w:pStyle w:val="Compact"/>
              <w:jc w:val="left"/>
            </w:pPr>
            <w:r>
              <w:t xml:space="preserve">Professor Assessment Suite</w:t>
            </w:r>
          </w:p>
        </w:tc>
        <w:tc>
          <w:tcPr/>
          <w:p>
            <w:pPr>
              <w:pStyle w:val="Compact"/>
              <w:jc w:val="left"/>
            </w:pPr>
            <w:r>
              <w:t xml:space="preserve">$2.7M</w:t>
            </w:r>
          </w:p>
        </w:tc>
        <w:tc>
          <w:tcPr/>
          <w:p>
            <w:pPr>
              <w:pStyle w:val="Compact"/>
              <w:jc w:val="left"/>
            </w:pPr>
            <w:r>
              <w:t xml:space="preserve">29% YoY</w:t>
            </w:r>
          </w:p>
        </w:tc>
      </w:tr>
    </w:tbl>
    <w:p>
      <w:pPr>
        <w:pStyle w:val="BodyText"/>
      </w:pPr>
      <w:r>
        <w:t xml:space="preserve">The Professor AI Tutor Modules saw explosive growth in Toronto's high-demand STEM fields, with a 67% increase in sales at Toronto District School Board (TDSB) schools. Our analytics show that institutions using the complete Professor suite achieve 23% higher student engagement scores versus competitors—a key differentiator validated by our latest market survey.</w:t>
      </w:r>
    </w:p>
    <w:bookmarkEnd w:id="23"/>
    <w:bookmarkStart w:id="24" w:name="v.-challenges-strategic-response"/>
    <w:p>
      <w:pPr>
        <w:pStyle w:val="Heading2"/>
      </w:pPr>
      <w:r>
        <w:t xml:space="preserve">V. Challenges &amp; Strategic Response</w:t>
      </w:r>
    </w:p>
    <w:p>
      <w:pPr>
        <w:pStyle w:val="FirstParagraph"/>
      </w:pPr>
      <w:r>
        <w:t xml:space="preserve">Despite strong performance, we encountered two significant challenges in the Canada Toronto market:</w:t>
      </w:r>
    </w:p>
    <w:p>
      <w:pPr>
        <w:numPr>
          <w:ilvl w:val="0"/>
          <w:numId w:val="1003"/>
        </w:numPr>
        <w:pStyle w:val="Compact"/>
      </w:pPr>
      <w:r>
        <w:rPr>
          <w:bCs/>
          <w:b/>
        </w:rPr>
        <w:t xml:space="preserve">Regulatory Compliance:</w:t>
      </w:r>
      <w:r>
        <w:t xml:space="preserve"> </w:t>
      </w:r>
      <w:r>
        <w:t xml:space="preserve">Initial delays in meeting Ontario's updated data privacy standards (OPP-13) required rapid platform adjustments. The Professor engineering team deployed a specialized Canadian compliance module within 45 days, turning potential setback into a trust-building opportunity.</w:t>
      </w:r>
    </w:p>
    <w:p>
      <w:pPr>
        <w:numPr>
          <w:ilvl w:val="0"/>
          <w:numId w:val="1003"/>
        </w:numPr>
        <w:pStyle w:val="Compact"/>
      </w:pPr>
      <w:r>
        <w:rPr>
          <w:bCs/>
          <w:b/>
        </w:rPr>
        <w:t xml:space="preserve">Competitive Pressure:</w:t>
      </w:r>
      <w:r>
        <w:t xml:space="preserve"> </w:t>
      </w:r>
      <w:r>
        <w:t xml:space="preserve">Major competitor "EduTechGlobal" launched aggressive pricing in Toronto. Our response was to implement value-based pricing rather than discounting, emphasizing Professor's ROI through our new "Success Guarantee" program that reduced client churn by 18%.</w:t>
      </w:r>
    </w:p>
    <w:bookmarkEnd w:id="24"/>
    <w:bookmarkStart w:id="25" w:name="X88e6ee27b51e0da428387a6606283178d071d01"/>
    <w:p>
      <w:pPr>
        <w:pStyle w:val="Heading2"/>
      </w:pPr>
      <w:r>
        <w:t xml:space="preserve">VI. Strategic Recommendations for Canada Toronto</w:t>
      </w:r>
    </w:p>
    <w:p>
      <w:pPr>
        <w:pStyle w:val="FirstParagraph"/>
      </w:pPr>
      <w:r>
        <w:t xml:space="preserve">Based on this Sales Report, we recommend the following priorities for Q2 2024:</w:t>
      </w:r>
    </w:p>
    <w:p>
      <w:pPr>
        <w:numPr>
          <w:ilvl w:val="0"/>
          <w:numId w:val="1004"/>
        </w:numPr>
        <w:pStyle w:val="Compact"/>
      </w:pPr>
      <w:r>
        <w:rPr>
          <w:bCs/>
          <w:b/>
        </w:rPr>
        <w:t xml:space="preserve">Expand University Partnerships:</w:t>
      </w:r>
      <w:r>
        <w:t xml:space="preserve"> </w:t>
      </w:r>
      <w:r>
        <w:t xml:space="preserve">Target 5 new post-secondary institutions in Toronto through enhanced faculty incentives program</w:t>
      </w:r>
    </w:p>
    <w:p>
      <w:pPr>
        <w:numPr>
          <w:ilvl w:val="0"/>
          <w:numId w:val="1004"/>
        </w:numPr>
        <w:pStyle w:val="Compact"/>
      </w:pPr>
      <w:r>
        <w:rPr>
          <w:bCs/>
          <w:b/>
        </w:rPr>
        <w:t xml:space="preserve">Leverage Ontario Curriculum Alignment:</w:t>
      </w:r>
      <w:r>
        <w:t xml:space="preserve"> </w:t>
      </w:r>
      <w:r>
        <w:t xml:space="preserve">Develop specialized modules for the newly introduced "Digital Literacy" curriculum requirement</w:t>
      </w:r>
    </w:p>
    <w:p>
      <w:pPr>
        <w:numPr>
          <w:ilvl w:val="0"/>
          <w:numId w:val="1004"/>
        </w:numPr>
        <w:pStyle w:val="Compact"/>
      </w:pPr>
      <w:r>
        <w:rPr>
          <w:bCs/>
          <w:b/>
        </w:rPr>
        <w:t xml:space="preserve">Toronto Community Program:</w:t>
      </w:r>
      <w:r>
        <w:t xml:space="preserve"> </w:t>
      </w:r>
      <w:r>
        <w:t xml:space="preserve">Launch free "Professor Educator Certification" workshops across 20 Toronto school districts to drive organic adoption</w:t>
      </w:r>
    </w:p>
    <w:p>
      <w:pPr>
        <w:numPr>
          <w:ilvl w:val="0"/>
          <w:numId w:val="1004"/>
        </w:numPr>
        <w:pStyle w:val="Compact"/>
      </w:pPr>
      <w:r>
        <w:rPr>
          <w:bCs/>
          <w:b/>
        </w:rPr>
        <w:t xml:space="preserve">Data Privacy Enhancement:</w:t>
      </w:r>
      <w:r>
        <w:t xml:space="preserve"> </w:t>
      </w:r>
      <w:r>
        <w:t xml:space="preserve">Implement Ontario-specific compliance features as standard for all Canada Toronto deployments by Q3 2024</w:t>
      </w:r>
    </w:p>
    <w:bookmarkEnd w:id="25"/>
    <w:bookmarkStart w:id="26" w:name="X629ebc7efb558e069b7f2f275a7bc8516dcfd08"/>
    <w:p>
      <w:pPr>
        <w:pStyle w:val="Heading2"/>
      </w:pPr>
      <w:r>
        <w:t xml:space="preserve">VII. Conclusion: Professor's Dominance in Canada Toronto Market</w:t>
      </w:r>
    </w:p>
    <w:p>
      <w:pPr>
        <w:pStyle w:val="FirstParagraph"/>
      </w:pPr>
      <w:r>
        <w:t xml:space="preserve">This Sales Report confirms that the Professor brand has become synonymous with educational excellence in Canada Toronto. The city's dynamic educational ecosystem—comprising 570+ public schools, 12 major universities, and a thriving corporate training sector—has proven to be our most valuable market within North America. Our success stems from an unwavering focus on Canadian context: understanding Ontario's unique curriculum requirements, respecting Toronto's multicultural environment, and delivering solutions that directly address local pain points.</w:t>
      </w:r>
    </w:p>
    <w:p>
      <w:pPr>
        <w:pStyle w:val="BodyText"/>
      </w:pPr>
      <w:r>
        <w:t xml:space="preserve">The Professor sales momentum in Canada Toronto is not merely a seasonal trend but represents a fundamental shift in how educational technology is adopted across the region. As we move into 2024 Q3, the Toronto market will serve as our primary model for expansion across other major Canadian urban centers. We project continued leadership with an expected 35% growth for full-year 2024, solidifying Professor's position as Canada's premier education technology solution.</w:t>
      </w:r>
    </w:p>
    <w:p>
      <w:pPr>
        <w:pStyle w:val="BodyText"/>
      </w:pPr>
      <w:r>
        <w:rPr>
          <w:bCs/>
          <w:b/>
        </w:rPr>
        <w:t xml:space="preserve">Prepared By:</w:t>
      </w:r>
      <w:r>
        <w:t xml:space="preserve"> </w:t>
      </w:r>
      <w:r>
        <w:t xml:space="preserve">Toronto Sales Strategy Group</w:t>
      </w:r>
      <w:r>
        <w:br/>
      </w:r>
      <w:r>
        <w:rPr>
          <w:bCs/>
          <w:b/>
        </w:rPr>
        <w:t xml:space="preserve">Professor Global Holdings - Canada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Canada Toronto Market Performance</dc:title>
  <dc:creator/>
  <dc:language>en</dc:language>
  <cp:keywords/>
  <dcterms:created xsi:type="dcterms:W3CDTF">2026-05-31T18:24:19Z</dcterms:created>
  <dcterms:modified xsi:type="dcterms:W3CDTF">2026-05-31T18:24:19Z</dcterms:modified>
</cp:coreProperties>
</file>

<file path=docProps/custom.xml><?xml version="1.0" encoding="utf-8"?>
<Properties xmlns="http://schemas.openxmlformats.org/officeDocument/2006/custom-properties" xmlns:vt="http://schemas.openxmlformats.org/officeDocument/2006/docPropsVTypes"/>
</file>