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t>
      </w:r>
      <w:r>
        <w:t xml:space="preserve"> </w:t>
      </w:r>
      <w:r>
        <w:t xml:space="preserve">Vancouver</w:t>
      </w:r>
      <w:r>
        <w:t xml:space="preserve"> </w:t>
      </w:r>
      <w:r>
        <w:t xml:space="preserve">Market</w:t>
      </w:r>
      <w:r>
        <w:t xml:space="preserve"> </w:t>
      </w:r>
      <w:r>
        <w:t xml:space="preserve">Analysis</w:t>
      </w:r>
    </w:p>
    <w:bookmarkStart w:id="29" w:name="Xa9b756d159c3baa0b5a0c0900c913b04bee20e6"/>
    <w:p>
      <w:pPr>
        <w:pStyle w:val="Heading1"/>
      </w:pPr>
      <w:r>
        <w:t xml:space="preserve">Sales Report: Professor Educational Services Performance in Canada Vancouver (Q3 2023)</w:t>
      </w:r>
    </w:p>
    <w:bookmarkStart w:id="20" w:name="executive-summary"/>
    <w:p>
      <w:pPr>
        <w:pStyle w:val="Heading2"/>
      </w:pPr>
      <w:r>
        <w:t xml:space="preserve">Executive Summary</w:t>
      </w:r>
    </w:p>
    <w:p>
      <w:pPr>
        <w:pStyle w:val="FirstParagraph"/>
      </w:pPr>
      <w:r>
        <w:t xml:space="preserve">This comprehensive sales report details the operational performance of Professor Educational Services across the Vancouver metropolitan area during the third quarter of 2023. As Canada's leading provider of personalized academic coaching, Professor has established itself as a market leader in Vancouver's competitive education sector. This report analyzes key metrics, regional performance, customer acquisition strategies, and future growth opportunities specific to our Vancouver operations. With an 18% year-over-year sales increase and a 27% expansion in service coverage across Vancouver neighborhoods, Professor has solidified its position as the preferred academic support solution for students from elementary through post-secondary levels in Canada's most populous coastal city.</w:t>
      </w:r>
    </w:p>
    <w:bookmarkEnd w:id="20"/>
    <w:bookmarkStart w:id="21" w:name="Xdc18940cc38b957388121ecf89a8a7565220bd7"/>
    <w:p>
      <w:pPr>
        <w:pStyle w:val="Heading2"/>
      </w:pPr>
      <w:r>
        <w:t xml:space="preserve">Market Context: Vancouver Educational Landscape</w:t>
      </w:r>
    </w:p>
    <w:p>
      <w:pPr>
        <w:pStyle w:val="FirstParagraph"/>
      </w:pPr>
      <w:r>
        <w:t xml:space="preserve">Vancouver represents a strategically vital market for Professor due to its high concentration of educational institutions including the University of British Columbia (UBC), Simon Fraser University, and over 150 K-12 schools. The Canadian education system's emphasis on holistic student development has created significant demand for specialized academic support services. Vancouver parents consistently rank academic achievement as their top priority, with 78% reporting willingness to invest in personalized tutoring according to the 2023 British Columbia Parental Education Survey. Professor's localized approach—tailored specifically to Vancouver's curriculum requirements and cultural context—has driven exceptional market penetration.</w:t>
      </w:r>
    </w:p>
    <w:bookmarkEnd w:id="21"/>
    <w:bookmarkStart w:id="23"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(CAD)</w:t>
            </w:r>
          </w:p>
        </w:tc>
        <w:tc>
          <w:tcPr/>
          <w:p>
            <w:pPr>
              <w:pStyle w:val="Compact"/>
              <w:jc w:val="left"/>
            </w:pPr>
            <w:r>
              <w:t xml:space="preserve">$1,485,000</w:t>
            </w:r>
          </w:p>
        </w:tc>
        <w:tc>
          <w:tcPr/>
          <w:p>
            <w:pPr>
              <w:pStyle w:val="Compact"/>
              <w:jc w:val="left"/>
            </w:pPr>
            <w:r>
              <w:t xml:space="preserve">$1,258,300</w:t>
            </w:r>
          </w:p>
        </w:tc>
        <w:tc>
          <w:tcPr/>
          <w:p>
            <w:pPr>
              <w:pStyle w:val="Compact"/>
              <w:jc w:val="left"/>
            </w:pPr>
            <w:r>
              <w:t xml:space="preserve">+18.0%</w:t>
            </w:r>
          </w:p>
        </w:tc>
      </w:tr>
      <w:tr>
        <w:tc>
          <w:tcPr/>
          <w:p>
            <w:pPr>
              <w:pStyle w:val="Compact"/>
              <w:jc w:val="left"/>
            </w:pPr>
            <w:r>
              <w:t xml:space="preserve">New Customer Acquisitions</w:t>
            </w:r>
          </w:p>
        </w:tc>
        <w:tc>
          <w:tcPr/>
          <w:p>
            <w:pPr>
              <w:pStyle w:val="Compact"/>
              <w:jc w:val="left"/>
            </w:pPr>
            <w:r>
              <w:t xml:space="preserve">247 students</w:t>
            </w:r>
          </w:p>
        </w:tc>
        <w:tc>
          <w:tcPr/>
          <w:p>
            <w:pPr>
              <w:pStyle w:val="Compact"/>
              <w:jc w:val="left"/>
            </w:pPr>
            <w:r>
              <w:t xml:space="preserve">195 students</w:t>
            </w:r>
          </w:p>
        </w:tc>
        <w:tc>
          <w:tcPr/>
          <w:p>
            <w:pPr>
              <w:pStyle w:val="Compact"/>
              <w:jc w:val="left"/>
            </w:pPr>
            <w:r>
              <w:t xml:space="preserve">+26.7%</w:t>
            </w:r>
          </w:p>
        </w:tc>
      </w:tr>
      <w:tr>
        <w:tc>
          <w:tcPr/>
          <w:p>
            <w:pPr>
              <w:pStyle w:val="Compact"/>
              <w:jc w:val="left"/>
            </w:pPr>
            <w:r>
              <w:t xml:space="preserve">Service Utilization Rate</w:t>
            </w:r>
          </w:p>
        </w:tc>
        <w:tc>
          <w:tcPr/>
          <w:p>
            <w:pPr>
              <w:pStyle w:val="Compact"/>
              <w:jc w:val="left"/>
            </w:pPr>
            <w:r>
              <w:t xml:space="preserve">82.3%</w:t>
            </w:r>
          </w:p>
        </w:tc>
        <w:tc>
          <w:tcPr/>
          <w:p>
            <w:pPr>
              <w:pStyle w:val="Compact"/>
              <w:jc w:val="left"/>
            </w:pPr>
            <w:r>
              <w:t xml:space="preserve">75.1%</w:t>
            </w:r>
          </w:p>
        </w:tc>
        <w:tc>
          <w:tcPr/>
          <w:p>
            <w:pPr>
              <w:pStyle w:val="Compact"/>
              <w:jc w:val="left"/>
            </w:pPr>
            <w:r>
              <w:t xml:space="preserve">+7.2 percentage points</w:t>
            </w:r>
          </w:p>
        </w:tc>
      </w:tr>
      <w:tr>
        <w:tc>
          <w:tcPr/>
          <w:p>
            <w:pPr>
              <w:pStyle w:val="Compact"/>
              <w:jc w:val="left"/>
            </w:pPr>
            <w:r>
              <w:t xml:space="preserve">Vancouver Market Share (K-12 &amp; Post-Secondary)</w:t>
            </w:r>
          </w:p>
        </w:tc>
        <w:tc>
          <w:tcPr/>
          <w:p>
            <w:pPr>
              <w:pStyle w:val="Compact"/>
            </w:pPr>
          </w:p>
        </w:tc>
        <w:tc>
          <w:tcPr/>
          <w:p>
            <w:pPr>
              <w:pStyle w:val="Compact"/>
            </w:pPr>
          </w:p>
        </w:tc>
        <w:tc>
          <w:tcPr/>
          <w:p>
            <w:pPr>
              <w:pStyle w:val="Compact"/>
            </w:pPr>
          </w:p>
        </w:tc>
      </w:tr>
      <w:tr>
        <w:tc>
          <w:tcPr/>
          <w:p>
            <w:pPr>
              <w:pStyle w:val="Compact"/>
              <w:jc w:val="left"/>
            </w:pPr>
            <w:r>
              <w:t xml:space="preserve">29.6% (up from 23.8% in Q3 2022)</w:t>
            </w:r>
          </w:p>
        </w:tc>
        <w:tc>
          <w:tcPr/>
          <w:p>
            <w:pPr>
              <w:pStyle w:val="Compact"/>
            </w:pPr>
          </w:p>
        </w:tc>
        <w:tc>
          <w:tcPr/>
          <w:p>
            <w:pPr>
              <w:pStyle w:val="Compact"/>
            </w:pPr>
          </w:p>
        </w:tc>
        <w:tc>
          <w:tcPr/>
          <w:p>
            <w:pPr>
              <w:pStyle w:val="Compact"/>
            </w:pPr>
          </w:p>
        </w:tc>
      </w:tr>
    </w:tbl>
    <w:bookmarkStart w:id="22" w:name="regional-performance-breakdown"/>
    <w:p>
      <w:pPr>
        <w:pStyle w:val="Heading3"/>
      </w:pPr>
      <w:r>
        <w:t xml:space="preserve">Regional Performance Breakdown</w:t>
      </w:r>
    </w:p>
    <w:p>
      <w:pPr>
        <w:pStyle w:val="FirstParagraph"/>
      </w:pPr>
      <w:r>
        <w:t xml:space="preserve">Vancouver's geographic diversity has influenced our sales strategy with distinct performance patterns across neighborhoods:</w:t>
      </w:r>
    </w:p>
    <w:p>
      <w:pPr>
        <w:numPr>
          <w:ilvl w:val="0"/>
          <w:numId w:val="1001"/>
        </w:numPr>
        <w:pStyle w:val="Compact"/>
      </w:pPr>
      <w:r>
        <w:rPr>
          <w:bCs/>
          <w:b/>
        </w:rPr>
        <w:t xml:space="preserve">West End &amp; Downtown:</w:t>
      </w:r>
      <w:r>
        <w:t xml:space="preserve"> </w:t>
      </w:r>
      <w:r>
        <w:t xml:space="preserve">Highest revenue density ($285 per square kilometer) driven by affluent families seeking university entrance preparation. 43% of total Vancouver revenue generated here despite representing only 12% of city area.</w:t>
      </w:r>
    </w:p>
    <w:p>
      <w:pPr>
        <w:numPr>
          <w:ilvl w:val="0"/>
          <w:numId w:val="1001"/>
        </w:numPr>
        <w:pStyle w:val="Compact"/>
      </w:pPr>
      <w:r>
        <w:rPr>
          <w:bCs/>
          <w:b/>
        </w:rPr>
        <w:t xml:space="preserve">East Vancouver &amp; Richmond:</w:t>
      </w:r>
      <w:r>
        <w:t xml:space="preserve"> </w:t>
      </w:r>
      <w:r>
        <w:t xml:space="preserve">Strongest growth segment (+34% YoY) with increased demand for ESL-focused academic coaching following recent immigration patterns. Community partnerships with Richmond Public Schools contributed to 65 new student acquisitions.</w:t>
      </w:r>
    </w:p>
    <w:p>
      <w:pPr>
        <w:numPr>
          <w:ilvl w:val="0"/>
          <w:numId w:val="1001"/>
        </w:numPr>
        <w:pStyle w:val="Compact"/>
      </w:pPr>
      <w:r>
        <w:rPr>
          <w:bCs/>
          <w:b/>
        </w:rPr>
        <w:t xml:space="preserve">North Shore (West Vancouver, North Vancouver):</w:t>
      </w:r>
      <w:r>
        <w:t xml:space="preserve"> </w:t>
      </w:r>
      <w:r>
        <w:t xml:space="preserve">Premium service uptake (+21%) for advanced IB/AP curriculum support. The $450/hr specialist pricing model achieved 91% retention rate among these clients.</w:t>
      </w:r>
    </w:p>
    <w:bookmarkEnd w:id="22"/>
    <w:bookmarkEnd w:id="23"/>
    <w:bookmarkStart w:id="24" w:name="product-and-service-performance"/>
    <w:p>
      <w:pPr>
        <w:pStyle w:val="Heading2"/>
      </w:pPr>
      <w:r>
        <w:t xml:space="preserve">Product and Service Performance</w:t>
      </w:r>
    </w:p>
    <w:p>
      <w:pPr>
        <w:pStyle w:val="FirstParagraph"/>
      </w:pPr>
      <w:r>
        <w:t xml:space="preserve">Professor's Vancouver-specific service portfolio demonstrates strategic alignment with local educational needs:</w:t>
      </w:r>
    </w:p>
    <w:p>
      <w:pPr>
        <w:numPr>
          <w:ilvl w:val="0"/>
          <w:numId w:val="1002"/>
        </w:numPr>
        <w:pStyle w:val="Compact"/>
      </w:pPr>
      <w:r>
        <w:rPr>
          <w:bCs/>
          <w:b/>
        </w:rPr>
        <w:t xml:space="preserve">University Pathway Program:</w:t>
      </w:r>
      <w:r>
        <w:t xml:space="preserve"> </w:t>
      </w:r>
      <w:r>
        <w:t xml:space="preserve">Generated 42% of total Vancouver revenue through targeted support for UBC/SFU admissions. The "Vancouver University Bridge" package (including mock interviews with local admissions officers) achieved 89% client satisfaction.</w:t>
      </w:r>
    </w:p>
    <w:p>
      <w:pPr>
        <w:numPr>
          <w:ilvl w:val="0"/>
          <w:numId w:val="1002"/>
        </w:numPr>
        <w:pStyle w:val="Compact"/>
      </w:pPr>
      <w:r>
        <w:rPr>
          <w:bCs/>
          <w:b/>
        </w:rPr>
        <w:t xml:space="preserve">K-12 Core Curriculum Support:</w:t>
      </w:r>
      <w:r>
        <w:t xml:space="preserve"> </w:t>
      </w:r>
      <w:r>
        <w:t xml:space="preserve">Accounted for 37% of sales with customized BC Ministry of Education alignment. The "Vancouver Math Mastery" initiative increased retention by 15% through localized practice materials.</w:t>
      </w:r>
    </w:p>
    <w:p>
      <w:pPr>
        <w:numPr>
          <w:ilvl w:val="0"/>
          <w:numId w:val="1002"/>
        </w:numPr>
        <w:pStyle w:val="Compact"/>
      </w:pPr>
      <w:r>
        <w:rPr>
          <w:bCs/>
          <w:b/>
        </w:rPr>
        <w:t xml:space="preserve">Specialized ESL Academic Coaching:</w:t>
      </w:r>
      <w:r>
        <w:t xml:space="preserve"> </w:t>
      </w:r>
      <w:r>
        <w:t xml:space="preserve">Rapidly growing segment (+68% YoY) addressing Vancouver's linguistic diversity. Partnered with Vancouver Community College for certified program delivery.</w:t>
      </w:r>
    </w:p>
    <w:p>
      <w:pPr>
        <w:numPr>
          <w:ilvl w:val="0"/>
          <w:numId w:val="1002"/>
        </w:numPr>
        <w:pStyle w:val="Compact"/>
      </w:pPr>
      <w:r>
        <w:rPr>
          <w:bCs/>
          <w:b/>
        </w:rPr>
        <w:t xml:space="preserve">Professor Digital Platform:</w:t>
      </w:r>
      <w:r>
        <w:t xml:space="preserve"> </w:t>
      </w:r>
      <w:r>
        <w:t xml:space="preserve">72% of Vancouver clients now use our proprietary app for scheduling and progress tracking—reducing administrative costs by 31% compared to traditional service models.</w:t>
      </w:r>
    </w:p>
    <w:bookmarkEnd w:id="24"/>
    <w:bookmarkStart w:id="25" w:name="X6a24bccac68ea1fbdaa84f35bbe870663dac4eb"/>
    <w:p>
      <w:pPr>
        <w:pStyle w:val="Heading2"/>
      </w:pPr>
      <w:r>
        <w:t xml:space="preserve">Customer Acquisition Strategy in Canada Vancouver</w:t>
      </w:r>
    </w:p>
    <w:p>
      <w:pPr>
        <w:pStyle w:val="FirstParagraph"/>
      </w:pPr>
      <w:r>
        <w:t xml:space="preserve">Vancouver's competitive market required hyper-localized marketing initiatives. Professor implemented the following successful tactics:</w:t>
      </w:r>
    </w:p>
    <w:p>
      <w:pPr>
        <w:numPr>
          <w:ilvl w:val="0"/>
          <w:numId w:val="1003"/>
        </w:numPr>
        <w:pStyle w:val="Compact"/>
      </w:pPr>
      <w:r>
        <w:rPr>
          <w:bCs/>
          <w:b/>
        </w:rPr>
        <w:t xml:space="preserve">Community Integration:</w:t>
      </w:r>
      <w:r>
        <w:t xml:space="preserve"> </w:t>
      </w:r>
      <w:r>
        <w:t xml:space="preserve">Sponsoring 18 school events across Vancouver (including Sir Winston Churchill Secondary and York House School) generated 243 qualified leads at $58 acquisition cost—well below industry average of $89.</w:t>
      </w:r>
    </w:p>
    <w:p>
      <w:pPr>
        <w:numPr>
          <w:ilvl w:val="0"/>
          <w:numId w:val="1003"/>
        </w:numPr>
        <w:pStyle w:val="Compact"/>
      </w:pPr>
      <w:r>
        <w:rPr>
          <w:bCs/>
          <w:b/>
        </w:rPr>
        <w:t xml:space="preserve">University Partnerships:</w:t>
      </w:r>
      <w:r>
        <w:t xml:space="preserve"> </w:t>
      </w:r>
      <w:r>
        <w:t xml:space="preserve">Strategic agreements with UBC's Student Services and SFU Continuing Education resulted in co-branded workshops attracting 112 new clients during orientation week alone.</w:t>
      </w:r>
    </w:p>
    <w:p>
      <w:pPr>
        <w:numPr>
          <w:ilvl w:val="0"/>
          <w:numId w:val="1003"/>
        </w:numPr>
        <w:pStyle w:val="Compact"/>
      </w:pPr>
      <w:r>
        <w:rPr>
          <w:bCs/>
          <w:b/>
        </w:rPr>
        <w:t xml:space="preserve">Digital Targeting:</w:t>
      </w:r>
      <w:r>
        <w:t xml:space="preserve"> </w:t>
      </w:r>
      <w:r>
        <w:t xml:space="preserve">Geo-fenced Facebook/Instagram campaigns focused on Vancouver neighborhoods (specifically targeting areas within 3km of school zones) achieved 5.7x higher conversion rates than national campaigns.</w:t>
      </w:r>
    </w:p>
    <w:bookmarkEnd w:id="25"/>
    <w:bookmarkStart w:id="26" w:name="challenges-and-strategic-opportunities"/>
    <w:p>
      <w:pPr>
        <w:pStyle w:val="Heading2"/>
      </w:pPr>
      <w:r>
        <w:t xml:space="preserve">Challenges and Strategic Opportunities</w:t>
      </w:r>
    </w:p>
    <w:p>
      <w:pPr>
        <w:pStyle w:val="FirstParagraph"/>
      </w:pPr>
      <w:r>
        <w:t xml:space="preserve">While results are strong, two key challenges require strategic attention in the Vancouver market:</w:t>
      </w:r>
    </w:p>
    <w:p>
      <w:pPr>
        <w:numPr>
          <w:ilvl w:val="0"/>
          <w:numId w:val="1004"/>
        </w:numPr>
        <w:pStyle w:val="Compact"/>
      </w:pPr>
      <w:r>
        <w:rPr>
          <w:bCs/>
          <w:b/>
        </w:rPr>
        <w:t xml:space="preserve">Seasonal Demand Volatility:</w:t>
      </w:r>
      <w:r>
        <w:t xml:space="preserve"> </w:t>
      </w:r>
      <w:r>
        <w:t xml:space="preserve">Q4 sales historically dip 19% post-exam season. Proposed solution: Launch "Vancouver Winter Academic Reset" program targeting mid-semester enrollment to smooth revenue flow.</w:t>
      </w:r>
    </w:p>
    <w:p>
      <w:pPr>
        <w:numPr>
          <w:ilvl w:val="0"/>
          <w:numId w:val="1004"/>
        </w:numPr>
        <w:pStyle w:val="Compact"/>
      </w:pPr>
      <w:r>
        <w:rPr>
          <w:bCs/>
          <w:b/>
        </w:rPr>
        <w:t xml:space="preserve">Competition from National Brands:</w:t>
      </w:r>
      <w:r>
        <w:t xml:space="preserve"> </w:t>
      </w:r>
      <w:r>
        <w:t xml:space="preserve">Entry of national competitors into Vancouver (e.g., Academia) threatens market share. Counter-strategy: Deepen local partnerships with Vancouver School Board and develop "Vancouver Certified Tutor" certification requiring BC teacher training.</w:t>
      </w:r>
    </w:p>
    <w:p>
      <w:pPr>
        <w:pStyle w:val="FirstParagraph"/>
      </w:pPr>
      <w:r>
        <w:t xml:space="preserve">Opportunities identified for Q4 2023 include:</w:t>
      </w:r>
    </w:p>
    <w:p>
      <w:pPr>
        <w:numPr>
          <w:ilvl w:val="0"/>
          <w:numId w:val="1005"/>
        </w:numPr>
        <w:pStyle w:val="Compact"/>
      </w:pPr>
      <w:r>
        <w:t xml:space="preserve">Expansion into Vancouver's growing Montessori school network (5 new schools in negotiations)</w:t>
      </w:r>
    </w:p>
    <w:p>
      <w:pPr>
        <w:numPr>
          <w:ilvl w:val="0"/>
          <w:numId w:val="1005"/>
        </w:numPr>
        <w:pStyle w:val="Compact"/>
      </w:pPr>
      <w:r>
        <w:t xml:space="preserve">Piloting "Professor Career Pathway" program with Vancouver Chamber of Commerce for post-graduation support</w:t>
      </w:r>
    </w:p>
    <w:p>
      <w:pPr>
        <w:numPr>
          <w:ilvl w:val="0"/>
          <w:numId w:val="1005"/>
        </w:numPr>
        <w:pStyle w:val="Compact"/>
      </w:pPr>
      <w:r>
        <w:t xml:space="preserve">Leveraging Vancouver's tech ecosystem for AI-driven learning analytics integration</w:t>
      </w:r>
    </w:p>
    <w:bookmarkEnd w:id="26"/>
    <w:bookmarkStart w:id="28" w:name="conclusion-and-forward-looking-strategy"/>
    <w:p>
      <w:pPr>
        <w:pStyle w:val="Heading2"/>
      </w:pPr>
      <w:r>
        <w:t xml:space="preserve">Conclusion and Forward-Looking Strategy</w:t>
      </w:r>
    </w:p>
    <w:p>
      <w:pPr>
        <w:pStyle w:val="FirstParagraph"/>
      </w:pPr>
      <w:r>
        <w:t xml:space="preserve">The Q3 2023 sales performance confirms Professor's position as Vancouver's premier academic support provider within Canada. Our localized service model, community engagement strategy, and curriculum alignment directly address Vancouver-specific educational needs that national competitors fail to comprehend. As we enter the critical academic enrollment season for 2024, Professor will maintain its Vancouver focus through three strategic pillars:</w:t>
      </w:r>
    </w:p>
    <w:p>
      <w:pPr>
        <w:numPr>
          <w:ilvl w:val="0"/>
          <w:numId w:val="1006"/>
        </w:numPr>
        <w:pStyle w:val="Compact"/>
      </w:pPr>
      <w:r>
        <w:t xml:space="preserve">Deepening BC Ministry of Education partnerships for curriculum integration</w:t>
      </w:r>
    </w:p>
    <w:p>
      <w:pPr>
        <w:numPr>
          <w:ilvl w:val="0"/>
          <w:numId w:val="1006"/>
        </w:numPr>
        <w:pStyle w:val="Compact"/>
      </w:pPr>
      <w:r>
        <w:t xml:space="preserve">Investing in Vancouver-based tutor recruitment to enhance cultural fluency</w:t>
      </w:r>
    </w:p>
    <w:p>
      <w:pPr>
        <w:numPr>
          <w:ilvl w:val="0"/>
          <w:numId w:val="1006"/>
        </w:numPr>
        <w:pStyle w:val="Compact"/>
      </w:pPr>
      <w:r>
        <w:t xml:space="preserve">Developing neighborhood-specific service packages (e.g., "North Shore IB Specialists," "East Van ESL Accelerators")</w:t>
      </w:r>
    </w:p>
    <w:p>
      <w:pPr>
        <w:pStyle w:val="FirstParagraph"/>
      </w:pPr>
      <w:r>
        <w:t xml:space="preserve">With 68% of Vancouver customers reporting they chose Professor specifically due to its local expertise, we project continued market leadership. The data confirms that for Canada's Vancouver education market, a hyper-localized approach centered on the academic realities of British Columbia students—not generic national programs—delivers sustainable growth. Professor remains committed to being the academic catalyst for every student in Vancouver through culturally intelligent educational support.</w:t>
      </w:r>
    </w:p>
    <w:bookmarkStart w:id="27" w:name="prepared-by"/>
    <w:p>
      <w:pPr>
        <w:pStyle w:val="Heading3"/>
      </w:pPr>
      <w:r>
        <w:t xml:space="preserve">Prepared By:</w:t>
      </w:r>
    </w:p>
    <w:p>
      <w:pPr>
        <w:pStyle w:val="FirstParagraph"/>
      </w:pPr>
      <w:r>
        <w:t xml:space="preserve">Professor Sales Analytics Department</w:t>
      </w:r>
    </w:p>
    <w:p>
      <w:pPr>
        <w:pStyle w:val="BodyText"/>
      </w:pPr>
      <w:r>
        <w:t xml:space="preserve">Vancouver Regional Office • Canada • September 15, 2023</w:t>
      </w:r>
    </w:p>
    <w:p>
      <w:pPr>
        <w:pStyle w:val="BodyText"/>
      </w:pPr>
      <w:r>
        <w:rPr>
          <w:bCs/>
          <w:b/>
        </w:rPr>
        <w:t xml:space="preserve">Key Vancouver Market Fact:</w:t>
      </w:r>
      <w:r>
        <w:t xml:space="preserve"> </w:t>
      </w:r>
      <w:r>
        <w:t xml:space="preserve">Vancouver's education market represents $687 million in annual spending (BC Stats, 2023), with Professor capturing the highest growth rate among private academic support providers in Canada's top metro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 Vancouver Market Analysis</dc:title>
  <dc:creator/>
  <dc:language>en</dc:language>
  <cp:keywords/>
  <dcterms:created xsi:type="dcterms:W3CDTF">2026-05-31T02:44:17Z</dcterms:created>
  <dcterms:modified xsi:type="dcterms:W3CDTF">2026-05-31T02:44:17Z</dcterms:modified>
</cp:coreProperties>
</file>

<file path=docProps/custom.xml><?xml version="1.0" encoding="utf-8"?>
<Properties xmlns="http://schemas.openxmlformats.org/officeDocument/2006/custom-properties" xmlns:vt="http://schemas.openxmlformats.org/officeDocument/2006/docPropsVTypes"/>
</file>