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Professor</w:t>
      </w:r>
      <w:r>
        <w:t xml:space="preserve"> </w:t>
      </w:r>
      <w:r>
        <w:t xml:space="preserve">Educational</w:t>
      </w:r>
      <w:r>
        <w:t xml:space="preserve"> </w:t>
      </w:r>
      <w:r>
        <w:t xml:space="preserve">Solutions</w:t>
      </w:r>
      <w:r>
        <w:t xml:space="preserve"> </w:t>
      </w:r>
      <w:r>
        <w:t xml:space="preserve">in</w:t>
      </w:r>
      <w:r>
        <w:t xml:space="preserve"> </w:t>
      </w:r>
      <w:r>
        <w:t xml:space="preserve">China</w:t>
      </w:r>
      <w:r>
        <w:t xml:space="preserve"> </w:t>
      </w:r>
      <w:r>
        <w:t xml:space="preserve">Beijing</w:t>
      </w:r>
    </w:p>
    <w:bookmarkStart w:id="28" w:name="X14e1087e99733a33019a4468513d53fbb3a031b"/>
    <w:p>
      <w:pPr>
        <w:pStyle w:val="Heading1"/>
      </w:pPr>
      <w:r>
        <w:t xml:space="preserve">Comprehensive Sales Report: Professor Educational Platform Expansion in China Beijing Market</w:t>
      </w:r>
    </w:p>
    <w:bookmarkStart w:id="20" w:name="executive-summary"/>
    <w:p>
      <w:pPr>
        <w:pStyle w:val="Heading2"/>
      </w:pPr>
      <w:r>
        <w:t xml:space="preserve">Executive Summary</w:t>
      </w:r>
    </w:p>
    <w:p>
      <w:pPr>
        <w:pStyle w:val="FirstParagraph"/>
      </w:pPr>
      <w:r>
        <w:t xml:space="preserve">This sales report presents a detailed analysis of the market performance and strategic initiatives for Professor, our premium AI-powered educational platform, within the dynamic education ecosystem of Beijing, China. As the capital city driving educational innovation across mainland China, Beijing represents a critical growth frontier where Professor has achieved remarkable traction. The past fiscal year (2023-2024) witnessed a 178% YoY increase in paid subscriptions and a 95% client retention rate among Beijing-based institutions, establishing Professor as the preferred digital learning solution for K-12 schools and private tutoring centers throughout the metropolitan area. This report validates our market-entry strategy while outlining concrete pathways for sustained dominance in China's most competitive education hub.</w:t>
      </w:r>
    </w:p>
    <w:bookmarkEnd w:id="20"/>
    <w:bookmarkStart w:id="21" w:name="X0596781a95832cc6f297484216ae293b196a0c1"/>
    <w:p>
      <w:pPr>
        <w:pStyle w:val="Heading2"/>
      </w:pPr>
      <w:r>
        <w:t xml:space="preserve">Beijing Market Context &amp; Strategic Imperatives</w:t>
      </w:r>
    </w:p>
    <w:p>
      <w:pPr>
        <w:pStyle w:val="FirstParagraph"/>
      </w:pPr>
      <w:r>
        <w:t xml:space="preserve">Beijing's education sector serves as the national benchmark for innovation and quality standards, with over 1,200 public schools and 35,000 private tutoring centers operating under strict Ministry of Education guidelines. The city's strategic importance is amplified by its concentration of elite institutions like Tsinghua University, Peking University, and the Beijing Municipal Education Commission – all driving demand for cutting-edge pedagogical tools. Professor's entry into this market was meticulously planned to align with Beijing's "Education 2030" initiative prioritizing technology integration. Our localized Chinese-language interface (with Mandarin voice recognition) and compliance with China's Cybersecurity Law were non-negotiable design requirements, directly addressing Beijing policymakers' emphasis on data sovereignty.</w:t>
      </w:r>
    </w:p>
    <w:bookmarkEnd w:id="21"/>
    <w:bookmarkStart w:id="22" w:name="Xbb1df3d0a31acfb409a3c18dde6bbfdb265eb80"/>
    <w:p>
      <w:pPr>
        <w:pStyle w:val="Heading2"/>
      </w:pPr>
      <w:r>
        <w:t xml:space="preserve">Quantitative Sales Performance: Beijing Segment</w:t>
      </w:r>
    </w:p>
    <w:p>
      <w:pPr>
        <w:pStyle w:val="FirstParagraph"/>
      </w:pPr>
      <w:r>
        <w:t xml:space="preserve">Professor achieved unprecedented success in the Beijing market through three key revenue streams:</w:t>
      </w:r>
    </w:p>
    <w:p>
      <w:pPr>
        <w:numPr>
          <w:ilvl w:val="0"/>
          <w:numId w:val="1001"/>
        </w:numPr>
        <w:pStyle w:val="Compact"/>
      </w:pPr>
      <w:r>
        <w:rPr>
          <w:bCs/>
          <w:b/>
        </w:rPr>
        <w:t xml:space="preserve">School Licenses:</w:t>
      </w:r>
      <w:r>
        <w:t xml:space="preserve"> </w:t>
      </w:r>
      <w:r>
        <w:t xml:space="preserve">87 public schools and 153 private academies adopted Professor's institutional platform, generating $4.2M in annual contracts. This includes landmark partnerships with Beijing No. 4 High School (the city's top-ranked secondary school) and the Xicheng District Education Bureau.</w:t>
      </w:r>
    </w:p>
    <w:p>
      <w:pPr>
        <w:numPr>
          <w:ilvl w:val="0"/>
          <w:numId w:val="1001"/>
        </w:numPr>
        <w:pStyle w:val="Compact"/>
      </w:pPr>
      <w:r>
        <w:rPr>
          <w:bCs/>
          <w:b/>
        </w:rPr>
        <w:t xml:space="preserve">Individual Subscriptions:</w:t>
      </w:r>
      <w:r>
        <w:t xml:space="preserve"> </w:t>
      </w:r>
      <w:r>
        <w:t xml:space="preserve">185,000 households in Beijing purchased Professor Premium subscriptions (32% of total China sales), with an average ARPU (Average Revenue Per User) of $145 annually – significantly above the national benchmark.</w:t>
      </w:r>
    </w:p>
    <w:p>
      <w:pPr>
        <w:numPr>
          <w:ilvl w:val="0"/>
          <w:numId w:val="1001"/>
        </w:numPr>
        <w:pStyle w:val="Compact"/>
      </w:pPr>
      <w:r>
        <w:rPr>
          <w:bCs/>
          <w:b/>
        </w:rPr>
        <w:t xml:space="preserve">Certified Teacher Training:</w:t>
      </w:r>
      <w:r>
        <w:t xml:space="preserve"> </w:t>
      </w:r>
      <w:r>
        <w:t xml:space="preserve">We conducted 24 certified pedagogy workshops for 1,800 Beijing educators, resulting in $760K in training revenue and driving platform adoption through instructor endorsement.</w:t>
      </w:r>
    </w:p>
    <w:p>
      <w:pPr>
        <w:pStyle w:val="FirstParagraph"/>
      </w:pPr>
      <w:r>
        <w:t xml:space="preserve">Notably, our sales conversion rate reached 42% among schools that attended pilot demonstrations – far exceeding the industry average of 28%. This success stems from our hyper-localized approach: Professor's content was co-developed with Beijing curriculum experts to align with the city's specific syllabi (e.g., "Beijing Model" math problems and language arts frameworks), eliminating cultural friction that plagued competitors' generic global platforms.</w:t>
      </w:r>
    </w:p>
    <w:bookmarkEnd w:id="22"/>
    <w:bookmarkStart w:id="23" w:name="key-success-drivers-in-beijing"/>
    <w:p>
      <w:pPr>
        <w:pStyle w:val="Heading2"/>
      </w:pPr>
      <w:r>
        <w:t xml:space="preserve">Key Success Drivers in Beijing</w:t>
      </w:r>
    </w:p>
    <w:p>
      <w:pPr>
        <w:pStyle w:val="FirstParagraph"/>
      </w:pPr>
      <w:r>
        <w:t xml:space="preserve">Professor's Beijing dominance stems from three integrated strategies:</w:t>
      </w:r>
    </w:p>
    <w:p>
      <w:pPr>
        <w:numPr>
          <w:ilvl w:val="0"/>
          <w:numId w:val="1002"/>
        </w:numPr>
        <w:pStyle w:val="Compact"/>
      </w:pPr>
      <w:r>
        <w:rPr>
          <w:bCs/>
          <w:b/>
        </w:rPr>
        <w:t xml:space="preserve">Cultural &amp; Regulatory Alignment:</w:t>
      </w:r>
      <w:r>
        <w:t xml:space="preserve"> </w:t>
      </w:r>
      <w:r>
        <w:t xml:space="preserve">Our team secured China's "Cybersecurity Review Certificate" within 18 months of market entry – a critical prerequisite often blocking international edtech. We also partnered with Beijing-based educational tech consortium "EdTech China" for compliance validation.</w:t>
      </w:r>
    </w:p>
    <w:p>
      <w:pPr>
        <w:numPr>
          <w:ilvl w:val="0"/>
          <w:numId w:val="1002"/>
        </w:numPr>
        <w:pStyle w:val="Compact"/>
      </w:pPr>
      <w:r>
        <w:rPr>
          <w:bCs/>
          <w:b/>
        </w:rPr>
        <w:t xml:space="preserve">Government-Backed Pilot Programs:</w:t>
      </w:r>
      <w:r>
        <w:t xml:space="preserve"> </w:t>
      </w:r>
      <w:r>
        <w:t xml:space="preserve">Through the Beijing Municipal Education Commission's "Digital Classroom Initiative," Professor was selected as the official AI tool for 50 schools during a 12-month trial, generating authentic case studies proving our efficacy in improving standardized test scores (average 23% improvement in math proficiency).</w:t>
      </w:r>
    </w:p>
    <w:p>
      <w:pPr>
        <w:numPr>
          <w:ilvl w:val="0"/>
          <w:numId w:val="1002"/>
        </w:numPr>
        <w:pStyle w:val="Compact"/>
      </w:pPr>
      <w:r>
        <w:rPr>
          <w:bCs/>
          <w:b/>
        </w:rPr>
        <w:t xml:space="preserve">On-the-Ground Sales Force:</w:t>
      </w:r>
      <w:r>
        <w:t xml:space="preserve"> </w:t>
      </w:r>
      <w:r>
        <w:t xml:space="preserve">We deployed a dedicated Beijing sales unit of 17 bilingual specialists (fluent in Mandarin and English) with deep connections to school administrators – a model that reduced sales cycles by 60% compared to remote operations.</w:t>
      </w:r>
    </w:p>
    <w:bookmarkEnd w:id="23"/>
    <w:bookmarkStart w:id="24" w:name="X843f22d10f38e395baee103f7cc3a9039ad13a2"/>
    <w:p>
      <w:pPr>
        <w:pStyle w:val="Heading2"/>
      </w:pPr>
      <w:r>
        <w:t xml:space="preserve">Customer Testimonials: Beijing Educators Speak</w:t>
      </w:r>
    </w:p>
    <w:p>
      <w:pPr>
        <w:pStyle w:val="BlockText"/>
      </w:pPr>
      <w:r>
        <w:t xml:space="preserve">"Professor's adaptive learning engine identifies knowledge gaps with remarkable precision – exactly what our teachers needed to personalize instruction across Beijing's diverse classrooms. The platform reduced our lesson planning time by 35% while boosting student engagement in STEM subjects."</w:t>
      </w:r>
    </w:p>
    <w:p>
      <w:pPr>
        <w:pStyle w:val="BlockText"/>
      </w:pPr>
      <w:r>
        <w:t xml:space="preserve">— Li Wei, Head of Mathematics Department, Beijing No. 4 High School</w:t>
      </w:r>
    </w:p>
    <w:p>
      <w:pPr>
        <w:pStyle w:val="BlockText"/>
      </w:pPr>
      <w:r>
        <w:t xml:space="preserve">"Professor's compliance with China's data regulations and alignment with our district's 'Smart Education' goals made it the clear choice for our digital transformation strategy. The platform is now integrated into 70% of Xicheng schools."</w:t>
      </w:r>
    </w:p>
    <w:p>
      <w:pPr>
        <w:pStyle w:val="BlockText"/>
      </w:pPr>
      <w:r>
        <w:t xml:space="preserve">— Director Zhang, Xicheng District Education Commission</w:t>
      </w:r>
    </w:p>
    <w:bookmarkEnd w:id="24"/>
    <w:bookmarkStart w:id="25" w:name="challenges-adaptive-solutions"/>
    <w:p>
      <w:pPr>
        <w:pStyle w:val="Heading2"/>
      </w:pPr>
      <w:r>
        <w:t xml:space="preserve">Challenges &amp; Adaptive Solutions</w:t>
      </w:r>
    </w:p>
    <w:p>
      <w:pPr>
        <w:pStyle w:val="FirstParagraph"/>
      </w:pPr>
      <w:r>
        <w:t xml:space="preserve">Initial market entry faced challenges requiring rapid adaptation: Beijing's strict data localization laws initially blocked cloud-based solutions. Our engineering team developed a secure on-premise deployment module exclusively for China, hosted in Beijing's state-certified data center – a move that accelerated trust-building with schools. Additionally, we addressed skepticism about AI in education by launching the "Professor Ambassador Program," training 200 Beijing teachers to become peer advocates within their school communities, which increased adoption rates by 47%.</w:t>
      </w:r>
    </w:p>
    <w:bookmarkEnd w:id="25"/>
    <w:bookmarkStart w:id="26" w:name="future-roadmap-for-professor-in-beijing"/>
    <w:p>
      <w:pPr>
        <w:pStyle w:val="Heading2"/>
      </w:pPr>
      <w:r>
        <w:t xml:space="preserve">Future Roadmap for Professor in Beijing</w:t>
      </w:r>
    </w:p>
    <w:p>
      <w:pPr>
        <w:pStyle w:val="FirstParagraph"/>
      </w:pPr>
      <w:r>
        <w:t xml:space="preserve">Building on our Beijing success, we're implementing three strategic initiatives:</w:t>
      </w:r>
    </w:p>
    <w:p>
      <w:pPr>
        <w:numPr>
          <w:ilvl w:val="0"/>
          <w:numId w:val="1003"/>
        </w:numPr>
        <w:pStyle w:val="Compact"/>
      </w:pPr>
      <w:r>
        <w:rPr>
          <w:bCs/>
          <w:b/>
        </w:rPr>
        <w:t xml:space="preserve">Beijing-Specific Curriculum Expansion:</w:t>
      </w:r>
      <w:r>
        <w:t xml:space="preserve"> </w:t>
      </w:r>
      <w:r>
        <w:t xml:space="preserve">Developing specialized content for the city's elite "Experimental Schools" program, launching Q1 2025 with exclusive physics and robotics modules.</w:t>
      </w:r>
    </w:p>
    <w:p>
      <w:pPr>
        <w:numPr>
          <w:ilvl w:val="0"/>
          <w:numId w:val="1003"/>
        </w:numPr>
        <w:pStyle w:val="Compact"/>
      </w:pPr>
      <w:r>
        <w:rPr>
          <w:bCs/>
          <w:b/>
        </w:rPr>
        <w:t xml:space="preserve">Government Collaboration Scaling:</w:t>
      </w:r>
      <w:r>
        <w:t xml:space="preserve"> </w:t>
      </w:r>
      <w:r>
        <w:t xml:space="preserve">Targeting a 30% increase in municipal contracts through new partnerships with Beijing's Education Investment Group to deploy Professor across all district-level schools by 2026.</w:t>
      </w:r>
    </w:p>
    <w:p>
      <w:pPr>
        <w:numPr>
          <w:ilvl w:val="0"/>
          <w:numId w:val="1003"/>
        </w:numPr>
        <w:pStyle w:val="Compact"/>
      </w:pPr>
      <w:r>
        <w:rPr>
          <w:bCs/>
          <w:b/>
        </w:rPr>
        <w:t xml:space="preserve">AI-Powered Parent Portal:</w:t>
      </w:r>
      <w:r>
        <w:t xml:space="preserve"> </w:t>
      </w:r>
      <w:r>
        <w:t xml:space="preserve">Introducing real-time learning analytics for parents (in Mandarin), addressing the high demand from Beijing families for transparent progress tracking – anticipated launch in Q3 2024.</w:t>
      </w:r>
    </w:p>
    <w:bookmarkEnd w:id="26"/>
    <w:bookmarkStart w:id="27" w:name="X4d6a5b02b34ec39dd0fee88cadb296282f41126"/>
    <w:p>
      <w:pPr>
        <w:pStyle w:val="Heading2"/>
      </w:pPr>
      <w:r>
        <w:t xml:space="preserve">Conclusion: Professor's Beijing Legacy &amp; National Impact</w:t>
      </w:r>
    </w:p>
    <w:p>
      <w:pPr>
        <w:pStyle w:val="FirstParagraph"/>
      </w:pPr>
      <w:r>
        <w:t xml:space="preserve">The Professor sales trajectory in Beijing transcends mere revenue growth; it represents a paradigm shift in how educational technology is adopted within China's most regulated market. By prioritizing cultural fluency, regulatory compliance, and demonstrable pedagogical impact – rather than generic global features – we've positioned Professor not just as a vendor, but as an indispensable partner in Beijing's education renaissance. Our Beijing success has become the blueprint for nationwide expansion: 89% of our current China sales originate from referrals from Beijing schools. As the city continues to lead China's educational transformation, Professor remains committed to empowering every classroom, teacher, and student across this pivotal market through continuous innovation that honors local context while delivering global excellence.</w:t>
      </w:r>
    </w:p>
    <w:p>
      <w:pPr>
        <w:pStyle w:val="BodyText"/>
      </w:pPr>
      <w:r>
        <w:rPr>
          <w:bCs/>
          <w:b/>
        </w:rPr>
        <w:t xml:space="preserve">Report Prepared For:</w:t>
      </w:r>
      <w:r>
        <w:t xml:space="preserve"> </w:t>
      </w:r>
      <w:r>
        <w:t xml:space="preserve">Global Executive Leadership |</w:t>
      </w:r>
      <w:r>
        <w:t xml:space="preserve"> </w:t>
      </w:r>
      <w:r>
        <w:rPr>
          <w:bCs/>
          <w:b/>
        </w:rPr>
        <w:t xml:space="preserve">Date:</w:t>
      </w:r>
      <w:r>
        <w:t xml:space="preserve"> </w:t>
      </w:r>
      <w:r>
        <w:t xml:space="preserve">October 26, 2024 |</w:t>
      </w:r>
      <w:r>
        <w:t xml:space="preserve"> </w:t>
      </w:r>
      <w:r>
        <w:rPr>
          <w:bCs/>
          <w:b/>
        </w:rPr>
        <w:t xml:space="preserve">Prepared By:</w:t>
      </w:r>
      <w:r>
        <w:t xml:space="preserve"> </w:t>
      </w:r>
      <w:r>
        <w:t xml:space="preserve">Professor Asia-Pacific Sales Strategy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Professor Educational Solutions in China Beijing</dc:title>
  <dc:creator/>
  <dc:language>en</dc:language>
  <cp:keywords/>
  <dcterms:created xsi:type="dcterms:W3CDTF">2026-05-30T23:56:09Z</dcterms:created>
  <dcterms:modified xsi:type="dcterms:W3CDTF">2026-05-30T23:56:09Z</dcterms:modified>
</cp:coreProperties>
</file>

<file path=docProps/custom.xml><?xml version="1.0" encoding="utf-8"?>
<Properties xmlns="http://schemas.openxmlformats.org/officeDocument/2006/custom-properties" xmlns:vt="http://schemas.openxmlformats.org/officeDocument/2006/docPropsVTypes"/>
</file>