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China</w:t>
      </w:r>
      <w:r>
        <w:t xml:space="preserve"> </w:t>
      </w:r>
      <w:r>
        <w:t xml:space="preserve">Guangzhou</w:t>
      </w:r>
      <w:r>
        <w:t xml:space="preserve"> </w:t>
      </w:r>
      <w:r>
        <w:t xml:space="preserve">Market</w:t>
      </w:r>
      <w:r>
        <w:t xml:space="preserve"> </w:t>
      </w:r>
      <w:r>
        <w:t xml:space="preserve">Performance</w:t>
      </w:r>
    </w:p>
    <w:bookmarkStart w:id="30" w:name="X7ff1085c2be5ed8e19f81d4f651749dc9de50d2"/>
    <w:p>
      <w:pPr>
        <w:pStyle w:val="Heading1"/>
      </w:pPr>
      <w:r>
        <w:t xml:space="preserve">Sales Report: Professor Educational Platform in China Guangzhou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Professor Education Solutions</w:t>
      </w:r>
      <w:r>
        <w:br/>
      </w:r>
      <w:r>
        <w:rPr>
          <w:bCs/>
          <w:b/>
        </w:rPr>
        <w:t xml:space="preserve">Prepared By:</w:t>
      </w:r>
      <w:r>
        <w:t xml:space="preserve"> </w:t>
      </w:r>
      <w:r>
        <w:t xml:space="preserve">Regional Sales Director, South China Division</w:t>
      </w:r>
    </w:p>
    <w:bookmarkStart w:id="20" w:name="i.-executive-summary"/>
    <w:p>
      <w:pPr>
        <w:pStyle w:val="Heading2"/>
      </w:pPr>
      <w:r>
        <w:t xml:space="preserve">I. Executive Summary</w:t>
      </w:r>
    </w:p>
    <w:p>
      <w:pPr>
        <w:pStyle w:val="FirstParagraph"/>
      </w:pPr>
      <w:r>
        <w:t xml:space="preserve">This comprehensive sales report details the market performance of the Professor educational platform across China Guangzhou during Q3 2023. The Professor solution – a cloud-based AI-powered learning management system designed specifically for K-12 institutions – has achieved remarkable traction in Guangzhou, capturing 18.7% market share among premium education technology providers in the region. This success positions Professor as the leading digital learning platform across Guangzhou's urban school districts, with sales growth exceeding industry benchmarks by 34%. The report confirms that strategic localization of Professor for China's educational framework has driven unprecedented adoption rates.</w:t>
      </w:r>
    </w:p>
    <w:bookmarkEnd w:id="20"/>
    <w:bookmarkStart w:id="21" w:name="X30bb46a75658d1514636d8ecff6ce967167c150"/>
    <w:p>
      <w:pPr>
        <w:pStyle w:val="Heading2"/>
      </w:pPr>
      <w:r>
        <w:t xml:space="preserve">II. Market Context: China Guangzhou Education Landscape</w:t>
      </w:r>
    </w:p>
    <w:p>
      <w:pPr>
        <w:pStyle w:val="FirstParagraph"/>
      </w:pPr>
      <w:r>
        <w:t xml:space="preserve">Guangzhou represents a critical market within China's education technology ecosystem, hosting over 1,800 public and private schools with 3.2 million students. The city's government has prioritized digital transformation in education through its "Smart Guangzhou Education Plan," creating an ideal environment for platforms like Professor. Key developments include mandatory AI literacy programs for teachers and substantial budget allocations for edtech adoption – factors that directly align with Professor's capabilities. This strategic market opportunity has been instrumental in positioning the platform as a preferred solution among Guangzhou educators.</w:t>
      </w:r>
    </w:p>
    <w:bookmarkEnd w:id="21"/>
    <w:bookmarkStart w:id="24" w:name="Xf90bcc44fd029a08d8911cfc6efbd0bbd0a080b"/>
    <w:p>
      <w:pPr>
        <w:pStyle w:val="Heading2"/>
      </w:pPr>
      <w:r>
        <w:t xml:space="preserve">III. Professor Sales Performance: Guangzhou Highlights</w:t>
      </w:r>
    </w:p>
    <w:bookmarkStart w:id="22" w:name="a.-q3-2023-sales-metrics"/>
    <w:p>
      <w:pPr>
        <w:pStyle w:val="Heading3"/>
      </w:pPr>
      <w:r>
        <w:t xml:space="preserve">A. Q3 2023 Sales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New Institutional Contracts (Guangzhou)</w:t>
            </w:r>
          </w:p>
        </w:tc>
        <w:tc>
          <w:tcPr/>
          <w:p>
            <w:pPr>
              <w:pStyle w:val="Compact"/>
              <w:jc w:val="left"/>
            </w:pPr>
            <w:r>
              <w:t xml:space="preserve">47</w:t>
            </w:r>
          </w:p>
        </w:tc>
        <w:tc>
          <w:tcPr/>
          <w:p>
            <w:pPr>
              <w:pStyle w:val="Compact"/>
              <w:jc w:val="left"/>
            </w:pPr>
            <w:r>
              <w:t xml:space="preserve">89</w:t>
            </w:r>
          </w:p>
        </w:tc>
        <w:tc>
          <w:tcPr/>
          <w:p>
            <w:pPr>
              <w:pStyle w:val="Compact"/>
              <w:jc w:val="left"/>
            </w:pPr>
            <w:r>
              <w:t xml:space="preserve">+89.4%</w:t>
            </w:r>
          </w:p>
        </w:tc>
      </w:tr>
      <w:tr>
        <w:tc>
          <w:tcPr/>
          <w:p>
            <w:pPr>
              <w:pStyle w:val="Compact"/>
              <w:jc w:val="left"/>
            </w:pPr>
            <w:r>
              <w:t xml:space="preserve">Total Revenue (Guangzhou)</w:t>
            </w:r>
          </w:p>
        </w:tc>
        <w:tc>
          <w:tcPr/>
          <w:p>
            <w:pPr>
              <w:pStyle w:val="Compact"/>
              <w:jc w:val="left"/>
            </w:pPr>
            <w:r>
              <w:t xml:space="preserve">CNY 21.3M</w:t>
            </w:r>
          </w:p>
        </w:tc>
        <w:tc>
          <w:tcPr/>
          <w:p>
            <w:pPr>
              <w:pStyle w:val="Compact"/>
              <w:jc w:val="left"/>
            </w:pPr>
            <w:r>
              <w:t xml:space="preserve">CNY 40.7M</w:t>
            </w:r>
          </w:p>
        </w:tc>
        <w:tc>
          <w:tcPr/>
          <w:p>
            <w:pPr>
              <w:pStyle w:val="Compact"/>
              <w:jc w:val="left"/>
            </w:pPr>
            <w:r>
              <w:t xml:space="preserve">+91.1%</w:t>
            </w:r>
          </w:p>
        </w:tc>
      </w:tr>
      <w:tr>
        <w:tc>
          <w:tcPr/>
          <w:p>
            <w:pPr>
              <w:pStyle w:val="Compact"/>
              <w:jc w:val="left"/>
            </w:pPr>
            <w:r>
              <w:t xml:space="preserve">Student Users Served</w:t>
            </w:r>
          </w:p>
        </w:tc>
        <w:tc>
          <w:tcPr/>
          <w:p>
            <w:pPr>
              <w:pStyle w:val="Compact"/>
              <w:jc w:val="left"/>
            </w:pPr>
            <w:r>
              <w:t xml:space="preserve">186,500</w:t>
            </w:r>
          </w:p>
        </w:tc>
        <w:tc>
          <w:tcPr/>
          <w:p>
            <w:pPr>
              <w:pStyle w:val="Compact"/>
              <w:jc w:val="left"/>
            </w:pPr>
            <w:r>
              <w:t xml:space="preserve">352,800</w:t>
            </w:r>
          </w:p>
        </w:tc>
        <w:tc>
          <w:tcPr/>
          <w:p>
            <w:pPr>
              <w:pStyle w:val="Compact"/>
              <w:jc w:val="left"/>
            </w:pPr>
            <w:r>
              <w:t xml:space="preserve">+90.2%</w:t>
            </w:r>
          </w:p>
        </w:tc>
      </w:tr>
    </w:tbl>
    <w:bookmarkEnd w:id="22"/>
    <w:bookmarkStart w:id="23" w:name="b.-strategic-account-successes"/>
    <w:p>
      <w:pPr>
        <w:pStyle w:val="Heading3"/>
      </w:pPr>
      <w:r>
        <w:t xml:space="preserve">B. Strategic Account Successes</w:t>
      </w:r>
    </w:p>
    <w:p>
      <w:pPr>
        <w:numPr>
          <w:ilvl w:val="0"/>
          <w:numId w:val="1001"/>
        </w:numPr>
        <w:pStyle w:val="Compact"/>
      </w:pPr>
      <w:r>
        <w:rPr>
          <w:bCs/>
          <w:b/>
        </w:rPr>
        <w:t xml:space="preserve">Guangzhou Education Bureau Partnership:</w:t>
      </w:r>
      <w:r>
        <w:t xml:space="preserve"> </w:t>
      </w:r>
      <w:r>
        <w:t xml:space="preserve">Secured citywide deployment across 15 districts with 87 public schools – the largest single government contract for Professor globally. This initiative directly supports Guangzhou's "Digital Classroom Revolution" policy.</w:t>
      </w:r>
    </w:p>
    <w:p>
      <w:pPr>
        <w:numPr>
          <w:ilvl w:val="0"/>
          <w:numId w:val="1001"/>
        </w:numPr>
        <w:pStyle w:val="Compact"/>
      </w:pPr>
      <w:r>
        <w:rPr>
          <w:bCs/>
          <w:b/>
        </w:rPr>
        <w:t xml:space="preserve">Garden City Private Schools Consortium:</w:t>
      </w:r>
      <w:r>
        <w:t xml:space="preserve"> </w:t>
      </w:r>
      <w:r>
        <w:t xml:space="preserve">Onboarded 23 premium international schools using Professor's bilingual curriculum module, generating CNY 8.2M in annual contracts.</w:t>
      </w:r>
    </w:p>
    <w:p>
      <w:pPr>
        <w:numPr>
          <w:ilvl w:val="0"/>
          <w:numId w:val="1001"/>
        </w:numPr>
        <w:pStyle w:val="Compact"/>
      </w:pPr>
      <w:r>
        <w:rPr>
          <w:bCs/>
          <w:b/>
        </w:rPr>
        <w:t xml:space="preserve">Guangzhou University Affiliates:</w:t>
      </w:r>
      <w:r>
        <w:t xml:space="preserve"> </w:t>
      </w:r>
      <w:r>
        <w:t xml:space="preserve">Implemented Professor for teacher training programs across 7 higher education institutions, creating a talent pipeline for future K-12 adoption.</w:t>
      </w:r>
    </w:p>
    <w:bookmarkEnd w:id="23"/>
    <w:bookmarkEnd w:id="24"/>
    <w:bookmarkStart w:id="25" w:name="X6ba54fa1ae5143e403d1731d6baa13310cfe05b"/>
    <w:p>
      <w:pPr>
        <w:pStyle w:val="Heading2"/>
      </w:pPr>
      <w:r>
        <w:t xml:space="preserve">IV. Localization Strategy: Why Professor Resonates in China Guangzhou</w:t>
      </w:r>
    </w:p>
    <w:p>
      <w:pPr>
        <w:pStyle w:val="FirstParagraph"/>
      </w:pPr>
      <w:r>
        <w:t xml:space="preserve">The exceptional performance stems from deliberate localization of the Professor platform specifically for Guangzhou's educational ecosystem:</w:t>
      </w:r>
    </w:p>
    <w:p>
      <w:pPr>
        <w:numPr>
          <w:ilvl w:val="0"/>
          <w:numId w:val="1002"/>
        </w:numPr>
        <w:pStyle w:val="Compact"/>
      </w:pPr>
      <w:r>
        <w:rPr>
          <w:bCs/>
          <w:b/>
        </w:rPr>
        <w:t xml:space="preserve">Regulatory Alignment:</w:t>
      </w:r>
      <w:r>
        <w:t xml:space="preserve"> </w:t>
      </w:r>
      <w:r>
        <w:t xml:space="preserve">Professor's data handling complies with China's Personal Information Protection Law (PIPL) and Education Data Security Standards, addressing critical compliance concerns that deterred competitors.</w:t>
      </w:r>
    </w:p>
    <w:p>
      <w:pPr>
        <w:numPr>
          <w:ilvl w:val="0"/>
          <w:numId w:val="1002"/>
        </w:numPr>
        <w:pStyle w:val="Compact"/>
      </w:pPr>
      <w:r>
        <w:rPr>
          <w:bCs/>
          <w:b/>
        </w:rPr>
        <w:t xml:space="preserve">Cultural Adaptation:</w:t>
      </w:r>
      <w:r>
        <w:t xml:space="preserve"> </w:t>
      </w:r>
      <w:r>
        <w:t xml:space="preserve">Developed Guangzhou dialect voice recognition for student feedback, integrated local curriculum standards (Guangdong Provincial Syllabus), and included culturally relevant learning scenarios in mathematics and Chinese literature modules.</w:t>
      </w:r>
    </w:p>
    <w:p>
      <w:pPr>
        <w:numPr>
          <w:ilvl w:val="0"/>
          <w:numId w:val="1002"/>
        </w:numPr>
        <w:pStyle w:val="Compact"/>
      </w:pPr>
      <w:r>
        <w:rPr>
          <w:bCs/>
          <w:b/>
        </w:rPr>
        <w:t xml:space="preserve">Teacher-Centric Design:</w:t>
      </w:r>
      <w:r>
        <w:t xml:space="preserve"> </w:t>
      </w:r>
      <w:r>
        <w:t xml:space="preserve">Created "Professor Teaching Assistant" feature allowing educators to customize content within China's mandatory 12-year education framework, reducing training time by 63% compared to competitors.</w:t>
      </w:r>
    </w:p>
    <w:bookmarkEnd w:id="25"/>
    <w:bookmarkStart w:id="26" w:name="X009bfd88b82f8b3c8684d69b6d42ca565a439ae"/>
    <w:p>
      <w:pPr>
        <w:pStyle w:val="Heading2"/>
      </w:pPr>
      <w:r>
        <w:t xml:space="preserve">V. Competitive Differentiation in China Guangzhou Market</w:t>
      </w:r>
    </w:p>
    <w:p>
      <w:pPr>
        <w:pStyle w:val="FirstParagraph"/>
      </w:pPr>
      <w:r>
        <w:t xml:space="preserve">While global competitors like Coursera and Khan Academy operate in Guangzhou, Professor's market dominance is rooted in its hyper-localized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Feature</w:t>
            </w:r>
          </w:p>
        </w:tc>
        <w:tc>
          <w:tcPr/>
          <w:p>
            <w:pPr>
              <w:pStyle w:val="Compact"/>
              <w:jc w:val="left"/>
            </w:pPr>
            <w:r>
              <w:t xml:space="preserve">Global Platform</w:t>
            </w:r>
          </w:p>
        </w:tc>
        <w:tc>
          <w:tcPr/>
          <w:p>
            <w:pPr>
              <w:pStyle w:val="Compact"/>
              <w:jc w:val="left"/>
            </w:pPr>
            <w:r>
              <w:t xml:space="preserve">Professor (Guangzhou)</w:t>
            </w:r>
          </w:p>
        </w:tc>
      </w:tr>
      <w:tr>
        <w:tc>
          <w:tcPr/>
          <w:p>
            <w:pPr>
              <w:pStyle w:val="Compact"/>
              <w:jc w:val="left"/>
            </w:pPr>
            <w:r>
              <w:t xml:space="preserve">Curriculum Alignment</w:t>
            </w:r>
          </w:p>
        </w:tc>
        <w:tc>
          <w:tcPr/>
          <w:p>
            <w:pPr>
              <w:pStyle w:val="Compact"/>
              <w:jc w:val="left"/>
            </w:pPr>
            <w:r>
              <w:t xml:space="preserve">Pan-national standards (non-localized)</w:t>
            </w:r>
          </w:p>
        </w:tc>
        <w:tc>
          <w:tcPr/>
          <w:p>
            <w:pPr>
              <w:pStyle w:val="Compact"/>
              <w:jc w:val="left"/>
            </w:pPr>
            <w:r>
              <w:rPr>
                <w:bCs/>
                <w:b/>
              </w:rPr>
              <w:t xml:space="preserve">Guanzhuo Provincial Syllabus + Guangdong Cultural Context</w:t>
            </w:r>
          </w:p>
        </w:tc>
      </w:tr>
      <w:tr>
        <w:tc>
          <w:tcPr/>
          <w:p>
            <w:pPr>
              <w:pStyle w:val="Compact"/>
              <w:jc w:val="left"/>
            </w:pPr>
            <w:r>
              <w:t xml:space="preserve">Data Compliance</w:t>
            </w:r>
          </w:p>
        </w:tc>
        <w:tc>
          <w:tcPr/>
          <w:p>
            <w:pPr>
              <w:pStyle w:val="Compact"/>
              <w:jc w:val="left"/>
            </w:pPr>
            <w:r>
              <w:t xml:space="preserve">Standard GDPR/CCPA models</w:t>
            </w:r>
          </w:p>
        </w:tc>
        <w:tc>
          <w:tcPr/>
          <w:p>
            <w:pPr>
              <w:pStyle w:val="Compact"/>
              <w:jc w:val="left"/>
            </w:pPr>
            <w:r>
              <w:rPr>
                <w:bCs/>
                <w:b/>
              </w:rPr>
              <w:t xml:space="preserve">Full PIPL Certification + Local Data Center (Guangzhou)</w:t>
            </w:r>
          </w:p>
        </w:tc>
      </w:tr>
      <w:tr>
        <w:tc>
          <w:tcPr/>
          <w:p>
            <w:pPr>
              <w:pStyle w:val="Compact"/>
              <w:jc w:val="left"/>
            </w:pPr>
            <w:r>
              <w:t xml:space="preserve">Teacher Adoption Rate</w:t>
            </w:r>
          </w:p>
        </w:tc>
        <w:tc>
          <w:tcPr/>
          <w:p>
            <w:pPr>
              <w:pStyle w:val="Compact"/>
              <w:jc w:val="left"/>
            </w:pPr>
            <w:r>
              <w:t xml:space="preserve">58% at 6 months</w:t>
            </w:r>
          </w:p>
        </w:tc>
        <w:tc>
          <w:tcPr/>
          <w:p>
            <w:pPr>
              <w:pStyle w:val="Compact"/>
              <w:jc w:val="left"/>
            </w:pPr>
            <w:r>
              <w:rPr>
                <w:bCs/>
                <w:b/>
              </w:rPr>
              <w:t xml:space="preserve">92% at 3 months</w:t>
            </w:r>
          </w:p>
        </w:tc>
      </w:tr>
    </w:tbl>
    <w:bookmarkEnd w:id="26"/>
    <w:bookmarkStart w:id="27" w:name="X916f73a1f090d857ae1e4233e9b157b8e07970d"/>
    <w:p>
      <w:pPr>
        <w:pStyle w:val="Heading2"/>
      </w:pPr>
      <w:r>
        <w:t xml:space="preserve">VI. Challenges and Strategic Solutions in China Guangzhou Context</w:t>
      </w:r>
    </w:p>
    <w:p>
      <w:pPr>
        <w:pStyle w:val="FirstParagraph"/>
      </w:pPr>
      <w:r>
        <w:t xml:space="preserve">Key challenges were overcome through Guangzhou-specific initiatives:</w:t>
      </w:r>
    </w:p>
    <w:p>
      <w:pPr>
        <w:numPr>
          <w:ilvl w:val="0"/>
          <w:numId w:val="1003"/>
        </w:numPr>
        <w:pStyle w:val="Compact"/>
      </w:pPr>
      <w:r>
        <w:rPr>
          <w:bCs/>
          <w:b/>
        </w:rPr>
        <w:t xml:space="preserve">Initial Skepticism about AI in Education:</w:t>
      </w:r>
      <w:r>
        <w:t xml:space="preserve"> </w:t>
      </w:r>
      <w:r>
        <w:t xml:space="preserve">Addressed through "Professor Demo Weeks" at 12 Guangzhou schools, featuring live student performance analytics that demonstrated improved test scores (average 23% increase).</w:t>
      </w:r>
    </w:p>
    <w:p>
      <w:pPr>
        <w:numPr>
          <w:ilvl w:val="0"/>
          <w:numId w:val="1003"/>
        </w:numPr>
        <w:pStyle w:val="Compact"/>
      </w:pPr>
      <w:r>
        <w:rPr>
          <w:bCs/>
          <w:b/>
        </w:rPr>
        <w:t xml:space="preserve">District-Level Procurement Complexity:</w:t>
      </w:r>
      <w:r>
        <w:t xml:space="preserve"> </w:t>
      </w:r>
      <w:r>
        <w:t xml:space="preserve">Overcome by partnering with Guangzhou Education Investment Group for streamlined tender processes.</w:t>
      </w:r>
    </w:p>
    <w:p>
      <w:pPr>
        <w:numPr>
          <w:ilvl w:val="0"/>
          <w:numId w:val="1003"/>
        </w:numPr>
        <w:pStyle w:val="Compact"/>
      </w:pPr>
      <w:r>
        <w:rPr>
          <w:bCs/>
          <w:b/>
        </w:rPr>
        <w:t xml:space="preserve">Language Barrier in Support:</w:t>
      </w:r>
      <w:r>
        <w:t xml:space="preserve"> </w:t>
      </w:r>
      <w:r>
        <w:t xml:space="preserve">Established 24/7 Chinese-speaking technical support center in Guangzhou with local university interns (Guangdong University of Foreign Studies), reducing resolution time by 78%.</w:t>
      </w:r>
    </w:p>
    <w:bookmarkEnd w:id="27"/>
    <w:bookmarkStart w:id="28" w:name="X3ebd1325b3064872884dc8c54cd8887de3e8af0"/>
    <w:p>
      <w:pPr>
        <w:pStyle w:val="Heading2"/>
      </w:pPr>
      <w:r>
        <w:t xml:space="preserve">VII. Future Outlook: Professor Expansion Strategy for China Guangzhou</w:t>
      </w:r>
    </w:p>
    <w:p>
      <w:pPr>
        <w:pStyle w:val="FirstParagraph"/>
      </w:pPr>
      <w:r>
        <w:t xml:space="preserve">With Q3 results establishing Professor as the market leader in China Guangzhou, our roadmap includes:</w:t>
      </w:r>
    </w:p>
    <w:p>
      <w:pPr>
        <w:numPr>
          <w:ilvl w:val="0"/>
          <w:numId w:val="1004"/>
        </w:numPr>
        <w:pStyle w:val="Compact"/>
      </w:pPr>
      <w:r>
        <w:rPr>
          <w:bCs/>
          <w:b/>
        </w:rPr>
        <w:t xml:space="preserve">Phase 1 (Q4 2023):</w:t>
      </w:r>
      <w:r>
        <w:t xml:space="preserve"> </w:t>
      </w:r>
      <w:r>
        <w:t xml:space="preserve">Scale to all 35 public school districts in Guangzhou through the Education Bureau's "Digital Campus" initiative, targeting 200+ new schools.</w:t>
      </w:r>
    </w:p>
    <w:p>
      <w:pPr>
        <w:numPr>
          <w:ilvl w:val="0"/>
          <w:numId w:val="1004"/>
        </w:numPr>
        <w:pStyle w:val="Compact"/>
      </w:pPr>
      <w:r>
        <w:rPr>
          <w:bCs/>
          <w:b/>
        </w:rPr>
        <w:t xml:space="preserve">Phase 2 (Q1-Q2 2024):</w:t>
      </w:r>
      <w:r>
        <w:t xml:space="preserve"> </w:t>
      </w:r>
      <w:r>
        <w:t xml:space="preserve">Launch Professor Mandarin AI Tutor for home learning – capitalizing on Guangzhou's high household internet penetration (89%) and parental demand for supplementary education.</w:t>
      </w:r>
    </w:p>
    <w:p>
      <w:pPr>
        <w:numPr>
          <w:ilvl w:val="0"/>
          <w:numId w:val="1004"/>
        </w:numPr>
        <w:pStyle w:val="Compact"/>
      </w:pPr>
      <w:r>
        <w:rPr>
          <w:bCs/>
          <w:b/>
        </w:rPr>
        <w:t xml:space="preserve">Phase 3 (Mid-2024):</w:t>
      </w:r>
      <w:r>
        <w:t xml:space="preserve"> </w:t>
      </w:r>
      <w:r>
        <w:t xml:space="preserve">Develop Guangzhou-specific certification program aligned with the city's "Digital Talent" initiative, creating revenue stream while deepening community engagement.</w:t>
      </w:r>
    </w:p>
    <w:bookmarkEnd w:id="28"/>
    <w:bookmarkStart w:id="29" w:name="X56b3b0b8c5d2c2f73a9edc98062cb8c65763e05"/>
    <w:p>
      <w:pPr>
        <w:pStyle w:val="Heading2"/>
      </w:pPr>
      <w:r>
        <w:t xml:space="preserve">VIII. Conclusion: Professor as Guangzhou's Education Catalyst</w:t>
      </w:r>
    </w:p>
    <w:p>
      <w:pPr>
        <w:pStyle w:val="FirstParagraph"/>
      </w:pPr>
      <w:r>
        <w:t xml:space="preserve">The China Guangzhou market has proven to be a transformative success for Professor, demonstrating how hyper-localized edtech solutions can achieve market leadership in complex educational ecosystems. This Sales Report confirms that Professor's strategic adaptation to Guangzhou's unique regulatory environment, cultural context, and institutional needs has not only driven exceptional revenue growth but also positioned the platform as an indispensable component of the city's educational future. As Guangzhou advances toward its 2030 Smart Education Vision, Professor stands ready to deliver on our promise:</w:t>
      </w:r>
      <w:r>
        <w:t xml:space="preserve"> </w:t>
      </w:r>
      <w:r>
        <w:rPr>
          <w:iCs/>
          <w:i/>
        </w:rPr>
        <w:t xml:space="preserve">"Empowering Every Student in China Guangzhou Through Intelligence."</w:t>
      </w:r>
      <w:r>
        <w:t xml:space="preserve"> </w:t>
      </w:r>
      <w:r>
        <w:t xml:space="preserve">The remarkable Q3 performance validates our localization strategy and provides a scalable model for expansion across all major Chinese metropolitan markets.</w:t>
      </w:r>
    </w:p>
    <w:p>
      <w:pPr>
        <w:pStyle w:val="BodyText"/>
      </w:pPr>
      <w:r>
        <w:rPr>
          <w:bCs/>
          <w:b/>
        </w:rPr>
        <w:t xml:space="preserve">Appendix:</w:t>
      </w:r>
      <w:r>
        <w:t xml:space="preserve"> </w:t>
      </w:r>
      <w:r>
        <w:t xml:space="preserve">Full sales data, teacher satisfaction surveys (96.2% positive), and Guangzhou Education Bureau partnership documentation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China Guangzhou Market Performance</dc:title>
  <dc:creator/>
  <dc:language>en</dc:language>
  <cp:keywords/>
  <dcterms:created xsi:type="dcterms:W3CDTF">2026-07-23T09:34:05Z</dcterms:created>
  <dcterms:modified xsi:type="dcterms:W3CDTF">2026-07-23T09:34:05Z</dcterms:modified>
</cp:coreProperties>
</file>

<file path=docProps/custom.xml><?xml version="1.0" encoding="utf-8"?>
<Properties xmlns="http://schemas.openxmlformats.org/officeDocument/2006/custom-properties" xmlns:vt="http://schemas.openxmlformats.org/officeDocument/2006/docPropsVTypes"/>
</file>