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Product</w:t>
      </w:r>
      <w:r>
        <w:t xml:space="preserve"> </w:t>
      </w:r>
      <w:r>
        <w:t xml:space="preserve">Line</w:t>
      </w:r>
      <w:r>
        <w:t xml:space="preserve"> </w:t>
      </w:r>
      <w:r>
        <w:t xml:space="preserve">Performance</w:t>
      </w:r>
      <w:r>
        <w:t xml:space="preserve"> </w:t>
      </w:r>
      <w:r>
        <w:t xml:space="preserve">-</w:t>
      </w:r>
      <w:r>
        <w:t xml:space="preserve"> </w:t>
      </w:r>
      <w:r>
        <w:t xml:space="preserve">China</w:t>
      </w:r>
      <w:r>
        <w:t xml:space="preserve"> </w:t>
      </w:r>
      <w:r>
        <w:t xml:space="preserve">Shanghai</w:t>
      </w:r>
      <w:r>
        <w:t xml:space="preserve"> </w:t>
      </w:r>
      <w:r>
        <w:t xml:space="preserve">Market</w:t>
      </w:r>
    </w:p>
    <w:bookmarkStart w:id="28" w:name="X61560901e824e0c9dd7e3d1e1314b64dfa6431b"/>
    <w:p>
      <w:pPr>
        <w:pStyle w:val="Heading1"/>
      </w:pPr>
      <w:r>
        <w:t xml:space="preserve">Sales Report: Professor Product Line Performance in China Shanghai Market</w:t>
      </w:r>
    </w:p>
    <w:p>
      <w:pPr>
        <w:pStyle w:val="FirstParagraph"/>
      </w:pPr>
      <w:r>
        <w:rPr>
          <w:bCs/>
          <w:b/>
        </w:rPr>
        <w:t xml:space="preserve">Prepared For:</w:t>
      </w:r>
      <w:r>
        <w:t xml:space="preserve"> </w:t>
      </w:r>
      <w:r>
        <w:t xml:space="preserve">Global 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Asia-Pacific Sales Division</w:t>
      </w:r>
    </w:p>
    <w:bookmarkStart w:id="20" w:name="i.-executive-summary"/>
    <w:p>
      <w:pPr>
        <w:pStyle w:val="Heading2"/>
      </w:pPr>
      <w:r>
        <w:t xml:space="preserve">I. Executive Summary</w:t>
      </w:r>
    </w:p>
    <w:p>
      <w:pPr>
        <w:pStyle w:val="FirstParagraph"/>
      </w:pPr>
      <w:r>
        <w:t xml:space="preserve">This comprehensive sales report details the performance of the Professor brand portfolio across Shanghai, China – our most strategic metropolitan market in the People's Republic. The Professor product line has demonstrated exceptional growth trajectory in Shanghai, achieving a remarkable 37% year-over-year revenue increase and capturing 28% market share within premium educational technology solutions. This report confirms that Shanghai continues to be the engine room for Professor's expansion across mainland China, with our local team executing an industry-leading sales strategy tailored to metropolitan educational institutions.</w:t>
      </w:r>
    </w:p>
    <w:bookmarkEnd w:id="20"/>
    <w:bookmarkStart w:id="21" w:name="X98e165c829f460e880dedb3834c3d427c9b3dbf"/>
    <w:p>
      <w:pPr>
        <w:pStyle w:val="Heading2"/>
      </w:pPr>
      <w:r>
        <w:t xml:space="preserve">II. Market Context: Why Shanghai Matters for Professor</w:t>
      </w:r>
    </w:p>
    <w:p>
      <w:pPr>
        <w:pStyle w:val="FirstParagraph"/>
      </w:pPr>
      <w:r>
        <w:t xml:space="preserve">Shanghai represents more than just a major city – it is the financial and innovation epicenter of China's education technology revolution. As the nation's most internationalized metropolis with over 250 foreign educational institutions and 14 million students across all levels, Shanghai demands solutions that blend cutting-edge pedagogy with cultural relevance. The Professor brand has strategically positioned itself as the preferred partner for Shanghai's top-tier universities (including Fudan, Tongji, and Shanghai Jiao Tong) by developing localized AI-driven learning modules aligned with China's 14th Five-Year Plan for education modernization. This market focus isn't accidental – Shanghai accounts for 42% of all Professor enterprise sales in mainland China, making it our most valuable regional hub.</w:t>
      </w:r>
    </w:p>
    <w:bookmarkEnd w:id="21"/>
    <w:bookmarkStart w:id="22" w:name="Xcc459587b4b2c27b4b319ce211d59c72631be67"/>
    <w:p>
      <w:pPr>
        <w:pStyle w:val="Heading2"/>
      </w:pPr>
      <w:r>
        <w:t xml:space="preserve">III. Sales Performance Highlights (Q3 2023)</w:t>
      </w:r>
    </w:p>
    <w:p>
      <w:pPr>
        <w:pStyle w:val="FirstParagraph"/>
      </w:pPr>
      <w:r>
        <w:t xml:space="preserve">The Shanghai region delivered outstanding results across all key metrics:</w:t>
      </w:r>
    </w:p>
    <w:p>
      <w:pPr>
        <w:numPr>
          <w:ilvl w:val="0"/>
          <w:numId w:val="1001"/>
        </w:numPr>
        <w:pStyle w:val="Compact"/>
      </w:pPr>
      <w:r>
        <w:rPr>
          <w:bCs/>
          <w:b/>
        </w:rPr>
        <w:t xml:space="preserve">Revenue Growth:</w:t>
      </w:r>
      <w:r>
        <w:t xml:space="preserve"> </w:t>
      </w:r>
      <w:r>
        <w:t xml:space="preserve">$18.7M (vs. $13.6M in Q3 2022) – 37% YoY growth</w:t>
      </w:r>
    </w:p>
    <w:p>
      <w:pPr>
        <w:numPr>
          <w:ilvl w:val="0"/>
          <w:numId w:val="1001"/>
        </w:numPr>
        <w:pStyle w:val="Compact"/>
      </w:pPr>
      <w:r>
        <w:rPr>
          <w:bCs/>
          <w:b/>
        </w:rPr>
        <w:t xml:space="preserve">Customer Acquisition:</w:t>
      </w:r>
      <w:r>
        <w:t xml:space="preserve"> </w:t>
      </w:r>
      <w:r>
        <w:t xml:space="preserve">47 new university contracts, including three of Shanghai's "Double First-Class" institutions</w:t>
      </w:r>
    </w:p>
    <w:p>
      <w:pPr>
        <w:numPr>
          <w:ilvl w:val="0"/>
          <w:numId w:val="1001"/>
        </w:numPr>
        <w:pStyle w:val="Compact"/>
      </w:pPr>
      <w:r>
        <w:rPr>
          <w:bCs/>
          <w:b/>
        </w:rPr>
        <w:t xml:space="preserve">Product Adoption:</w:t>
      </w:r>
      <w:r>
        <w:t xml:space="preserve"> </w:t>
      </w:r>
      <w:r>
        <w:t xml:space="preserve">Professor AI Tutor platform achieved 92% retention rate among Shanghai schools – significantly above global average</w:t>
      </w:r>
    </w:p>
    <w:p>
      <w:pPr>
        <w:numPr>
          <w:ilvl w:val="0"/>
          <w:numId w:val="1001"/>
        </w:numPr>
        <w:pStyle w:val="Compact"/>
      </w:pPr>
      <w:r>
        <w:rPr>
          <w:bCs/>
          <w:b/>
        </w:rPr>
        <w:t xml:space="preserve">Distribution Channels:</w:t>
      </w:r>
      <w:r>
        <w:t xml:space="preserve"> </w:t>
      </w:r>
      <w:r>
        <w:t xml:space="preserve">35% growth in direct sales through Professor's Shanghai-based enterprise team, complemented by 68% channel partnership growth with local edtech distributors</w:t>
      </w:r>
    </w:p>
    <w:p>
      <w:pPr>
        <w:pStyle w:val="FirstParagraph"/>
      </w:pPr>
      <w:r>
        <w:t xml:space="preserve">The success is particularly notable given Shanghai's competitive landscape. Our market share increased from 21% to 28% quarter-over-quarter as we outpaced key competitors like EduTech China and LearnSphere, primarily through our culturally attuned product adaptation strategy.</w:t>
      </w:r>
    </w:p>
    <w:bookmarkEnd w:id="22"/>
    <w:bookmarkStart w:id="23" w:name="X1de0d75ae582a998bec1e62ade2ae4828c45bd1"/>
    <w:p>
      <w:pPr>
        <w:pStyle w:val="Heading2"/>
      </w:pPr>
      <w:r>
        <w:t xml:space="preserve">IV. Deep Dive: Professor's Shanghai Success Drivers</w:t>
      </w:r>
    </w:p>
    <w:p>
      <w:pPr>
        <w:pStyle w:val="FirstParagraph"/>
      </w:pPr>
      <w:r>
        <w:rPr>
          <w:bCs/>
          <w:b/>
        </w:rPr>
        <w:t xml:space="preserve">Localized Product Integration:</w:t>
      </w:r>
      <w:r>
        <w:t xml:space="preserve"> </w:t>
      </w:r>
      <w:r>
        <w:t xml:space="preserve">The Professor team developed Shanghai-specific learning pathways that align with the city's rigorous education standards. For instance, our "Shanghai Curriculum Companion" module – created in collaboration with Shanghai Education Bureau advisors – now serves 68% of secondary schools in Pudong District. This localized approach has directly driven a 41% increase in upsell opportunities compared to generic product offerings.</w:t>
      </w:r>
    </w:p>
    <w:p>
      <w:pPr>
        <w:pStyle w:val="BodyText"/>
      </w:pPr>
      <w:r>
        <w:rPr>
          <w:bCs/>
          <w:b/>
        </w:rPr>
        <w:t xml:space="preserve">Cultural Intelligence:</w:t>
      </w:r>
      <w:r>
        <w:t xml:space="preserve"> </w:t>
      </w:r>
      <w:r>
        <w:t xml:space="preserve">Professor's Shanghai sales team (90% locally recruited with Mandarin fluency) implemented "Cultural Immersion Days" where sales representatives shadow teachers during curriculum planning sessions. This deep market understanding enabled us to identify unmet needs – such as the demand for AI tools that support China's new bilingual education policies – which we rapidly addressed through product updates.</w:t>
      </w:r>
    </w:p>
    <w:p>
      <w:pPr>
        <w:pStyle w:val="BodyText"/>
      </w:pPr>
      <w:r>
        <w:rPr>
          <w:bCs/>
          <w:b/>
        </w:rPr>
        <w:t xml:space="preserve">Strategic Partnerships:</w:t>
      </w:r>
      <w:r>
        <w:t xml:space="preserve"> </w:t>
      </w:r>
      <w:r>
        <w:t xml:space="preserve">The landmark partnership with Shanghai International Studies University (SISU) has become a model for Professor's regional growth. This collaboration includes joint R&amp;D on language learning AI, resulting in 30% higher adoption rates among Mandarin-English dual-language programs. The success of this pilot expanded to 12 universities within six months.</w:t>
      </w:r>
    </w:p>
    <w:bookmarkEnd w:id="23"/>
    <w:bookmarkStart w:id="24" w:name="X95a40521b2754dd074b9070a4d2b2db4c507eed"/>
    <w:p>
      <w:pPr>
        <w:pStyle w:val="Heading2"/>
      </w:pPr>
      <w:r>
        <w:t xml:space="preserve">V. Customer Testimonials: Shanghai Educational Institutions</w:t>
      </w:r>
    </w:p>
    <w:p>
      <w:pPr>
        <w:pStyle w:val="FirstParagraph"/>
      </w:pPr>
      <w:r>
        <w:t xml:space="preserve">"Professor's Shanghai-specific implementation was transformative for our STEM program," shared Dr. Li Wei, Dean at ShanghaiTech University. "Their team didn't just sell a product – they co-designed solutions that addressed China's unique classroom dynamics while meeting international accreditation standards."</w:t>
      </w:r>
    </w:p>
    <w:p>
      <w:pPr>
        <w:pStyle w:val="BodyText"/>
      </w:pPr>
      <w:r>
        <w:t xml:space="preserve">From Shanghai Jiao Tong University: "The Professor platform's integration with the city's digital education infrastructure (Shanghai Education Cloud) eliminated our data migration challenges. This was critical for our compliance with Shanghai Education Commission regulations."</w:t>
      </w:r>
    </w:p>
    <w:bookmarkEnd w:id="24"/>
    <w:bookmarkStart w:id="25" w:name="vi.-challenges-and-strategic-adjustments"/>
    <w:p>
      <w:pPr>
        <w:pStyle w:val="Heading2"/>
      </w:pPr>
      <w:r>
        <w:t xml:space="preserve">VI. Challenges and Strategic Adjustments</w:t>
      </w:r>
    </w:p>
    <w:p>
      <w:pPr>
        <w:pStyle w:val="FirstParagraph"/>
      </w:pPr>
      <w:r>
        <w:t xml:space="preserve">While performance has been strong, we identified two key Shanghai-specific challenges:</w:t>
      </w:r>
    </w:p>
    <w:p>
      <w:pPr>
        <w:numPr>
          <w:ilvl w:val="0"/>
          <w:numId w:val="1002"/>
        </w:numPr>
        <w:pStyle w:val="Compact"/>
      </w:pPr>
      <w:r>
        <w:rPr>
          <w:bCs/>
          <w:b/>
        </w:rPr>
        <w:t xml:space="preserve">Regulatory Navigation:</w:t>
      </w:r>
      <w:r>
        <w:t xml:space="preserve"> </w:t>
      </w:r>
      <w:r>
        <w:t xml:space="preserve">Recent amendments to China's Data Security Law required rapid adaptation of Professor's data handling protocols. Our local legal team successfully implemented revised compliance frameworks within 60 days, avoiding service disruption.</w:t>
      </w:r>
    </w:p>
    <w:p>
      <w:pPr>
        <w:numPr>
          <w:ilvl w:val="0"/>
          <w:numId w:val="1002"/>
        </w:numPr>
        <w:pStyle w:val="Compact"/>
      </w:pPr>
      <w:r>
        <w:rPr>
          <w:bCs/>
          <w:b/>
        </w:rPr>
        <w:t xml:space="preserve">Competitive Response:</w:t>
      </w:r>
      <w:r>
        <w:t xml:space="preserve"> </w:t>
      </w:r>
      <w:r>
        <w:t xml:space="preserve">Rivals are now copying our Shanghai localization strategy. In response, Professor is accelerating its "Professor+Shanghai" innovation lab – launching next month with dedicated resources for real-time market adaptation.</w:t>
      </w:r>
    </w:p>
    <w:bookmarkEnd w:id="25"/>
    <w:bookmarkStart w:id="26" w:name="Xc23d9b3505876991da0ee345765a327b6afdd85"/>
    <w:p>
      <w:pPr>
        <w:pStyle w:val="Heading2"/>
      </w:pPr>
      <w:r>
        <w:t xml:space="preserve">VII. Future Strategy: Doubling Down on Shanghai</w:t>
      </w:r>
    </w:p>
    <w:p>
      <w:pPr>
        <w:pStyle w:val="FirstParagraph"/>
      </w:pPr>
      <w:r>
        <w:t xml:space="preserve">Based on Q3 performance, we propose three strategic actions to cement Professor's leadership in China Shanghai:</w:t>
      </w:r>
    </w:p>
    <w:p>
      <w:pPr>
        <w:numPr>
          <w:ilvl w:val="0"/>
          <w:numId w:val="1003"/>
        </w:numPr>
        <w:pStyle w:val="Compact"/>
      </w:pPr>
      <w:r>
        <w:rPr>
          <w:bCs/>
          <w:b/>
        </w:rPr>
        <w:t xml:space="preserve">Expand Shanghai Innovation Hub:</w:t>
      </w:r>
      <w:r>
        <w:t xml:space="preserve"> </w:t>
      </w:r>
      <w:r>
        <w:t xml:space="preserve">Allocate $5M for a dedicated R&amp;D center at Pudong Science Park focused exclusively on China market needs – targeting 20% faster product iteration cycles.</w:t>
      </w:r>
    </w:p>
    <w:p>
      <w:pPr>
        <w:numPr>
          <w:ilvl w:val="0"/>
          <w:numId w:val="1003"/>
        </w:numPr>
        <w:pStyle w:val="Compact"/>
      </w:pPr>
      <w:r>
        <w:rPr>
          <w:bCs/>
          <w:b/>
        </w:rPr>
        <w:t xml:space="preserve">Culture-First Sales Training:</w:t>
      </w:r>
      <w:r>
        <w:t xml:space="preserve"> </w:t>
      </w:r>
      <w:r>
        <w:t xml:space="preserve">Implement mandatory cultural intelligence certification for all Professor sales staff in mainland China, with Shanghai as the pilot region.</w:t>
      </w:r>
    </w:p>
    <w:p>
      <w:pPr>
        <w:numPr>
          <w:ilvl w:val="0"/>
          <w:numId w:val="1003"/>
        </w:numPr>
        <w:pStyle w:val="Compact"/>
      </w:pPr>
      <w:r>
        <w:rPr>
          <w:bCs/>
          <w:b/>
        </w:rPr>
        <w:t xml:space="preserve">Shanghai Community Initiative:</w:t>
      </w:r>
      <w:r>
        <w:t xml:space="preserve"> </w:t>
      </w:r>
      <w:r>
        <w:t xml:space="preserve">Launch "Professor Educator Network" – a platform connecting Shanghai teachers with our product team for co-creation of localized content, projected to increase customer loyalty by 35%.</w:t>
      </w:r>
    </w:p>
    <w:bookmarkEnd w:id="26"/>
    <w:bookmarkStart w:id="27" w:name="viii.-conclusion"/>
    <w:p>
      <w:pPr>
        <w:pStyle w:val="Heading2"/>
      </w:pPr>
      <w:r>
        <w:t xml:space="preserve">VIII. Conclusion</w:t>
      </w:r>
    </w:p>
    <w:p>
      <w:pPr>
        <w:pStyle w:val="FirstParagraph"/>
      </w:pPr>
      <w:r>
        <w:t xml:space="preserve">The Professor brand has proven that strategic localization in China Shanghai is not merely advantageous – it's essential for market leadership. Our Q3 results demonstrate that when educational technology solutions are deeply embedded within Shanghai's unique academic ecosystem, they achieve disproportionate growth. The $18.7M revenue milestone in Shanghai isn't just a number; it represents the successful integration of Professor's global innovation with China's premier educational hub.</w:t>
      </w:r>
    </w:p>
    <w:p>
      <w:pPr>
        <w:pStyle w:val="BodyText"/>
      </w:pPr>
      <w:r>
        <w:t xml:space="preserve">As we enter the critical 2024 sales cycle, Shanghai will remain the focal point of our China strategy. The success achieved here – driven by cultural intelligence, regulatory agility, and customer-centric product development – provides a replicable blueprint for expansion across mainland China. We are confident that by doubling down on Professor's Shanghai operations as our innovation nucleus, we will maintain our 30%+ CAGR trajectory while setting new benchmarks for edtech market entry in China.</w:t>
      </w:r>
    </w:p>
    <w:p>
      <w:pPr>
        <w:pStyle w:val="BodyText"/>
      </w:pPr>
      <w:r>
        <w:rPr>
          <w:bCs/>
          <w:b/>
        </w:rPr>
        <w:t xml:space="preserve">Recommendation:</w:t>
      </w:r>
      <w:r>
        <w:t xml:space="preserve"> </w:t>
      </w:r>
      <w:r>
        <w:t xml:space="preserve">Approve full investment in the Shanghai Innovation Hub and "Professor Educator Network" initiatives to leverage current momentum and solidify market leadership. The ROI potential from this strategic focus is projected at 350% within 18 months.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Product Line Performance - China Shanghai Market</dc:title>
  <dc:creator/>
  <dc:language>en</dc:language>
  <cp:keywords/>
  <dcterms:created xsi:type="dcterms:W3CDTF">2026-07-23T18:12:30Z</dcterms:created>
  <dcterms:modified xsi:type="dcterms:W3CDTF">2026-07-23T18:12:30Z</dcterms:modified>
</cp:coreProperties>
</file>

<file path=docProps/custom.xml><?xml version="1.0" encoding="utf-8"?>
<Properties xmlns="http://schemas.openxmlformats.org/officeDocument/2006/custom-properties" xmlns:vt="http://schemas.openxmlformats.org/officeDocument/2006/docPropsVTypes"/>
</file>