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Professor</w:t>
      </w:r>
      <w:r>
        <w:t xml:space="preserve"> </w:t>
      </w:r>
      <w:r>
        <w:t xml:space="preserve">-</w:t>
      </w:r>
      <w:r>
        <w:t xml:space="preserve"> </w:t>
      </w:r>
      <w:r>
        <w:t xml:space="preserve">Colombia</w:t>
      </w:r>
      <w:r>
        <w:t xml:space="preserve"> </w:t>
      </w:r>
      <w:r>
        <w:t xml:space="preserve">Medellín</w:t>
      </w:r>
      <w:r>
        <w:t xml:space="preserve"> </w:t>
      </w:r>
      <w:r>
        <w:t xml:space="preserve">Market</w:t>
      </w:r>
      <w:r>
        <w:t xml:space="preserve"> </w:t>
      </w:r>
      <w:r>
        <w:t xml:space="preserve">Performance</w:t>
      </w:r>
    </w:p>
    <w:bookmarkStart w:id="31" w:name="Xab7f8317c04c79ba44e2b956bf45fc8337d86c8"/>
    <w:p>
      <w:pPr>
        <w:pStyle w:val="Heading1"/>
      </w:pPr>
      <w:r>
        <w:t xml:space="preserve">Sales Report: Professor - Colombia Medellín Market Performance (Q3 2023)</w:t>
      </w:r>
    </w:p>
    <w:bookmarkStart w:id="20" w:name="executive-summary"/>
    <w:p>
      <w:pPr>
        <w:pStyle w:val="Heading2"/>
      </w:pPr>
      <w:r>
        <w:t xml:space="preserve">Executive Summary</w:t>
      </w:r>
    </w:p>
    <w:p>
      <w:pPr>
        <w:pStyle w:val="FirstParagraph"/>
      </w:pPr>
      <w:r>
        <w:t xml:space="preserve">This comprehensive Sales Report details the operational performance of Professor, our premium educational technology platform, across the dynamic market of Medellín, Colombia. Covering the period from July to September 2023, this report confirms Professor's strategic growth trajectory in Colombia's second-largest metropolitan hub. With a 34% year-over-year sales increase and penetration into 18 new educational institutions across Medellín's municipal network, Professor has established itself as a transformative force in the region's digital learning ecosystem. The Medellín market represents 27% of Professor's total Colombia revenue, demonstrating exceptional potential for sustained expansion within Colombia's education sector.</w:t>
      </w:r>
    </w:p>
    <w:bookmarkEnd w:id="20"/>
    <w:bookmarkStart w:id="21" w:name="market-context-why-medellín-matters"/>
    <w:p>
      <w:pPr>
        <w:pStyle w:val="Heading2"/>
      </w:pPr>
      <w:r>
        <w:t xml:space="preserve">Market Context: Why Medellín Matters</w:t>
      </w:r>
    </w:p>
    <w:p>
      <w:pPr>
        <w:pStyle w:val="FirstParagraph"/>
      </w:pPr>
      <w:r>
        <w:t xml:space="preserve">Medellín has emerged as Colombia's undisputed innovation capital, with the city government prioritizing technology-driven education initiatives through its "Medellín Digital" program. As a UNESCO Learning City and host of Colombia's largest tech ecosystem (including 45+ EdTech startups), Medellín offers an ideal testing ground for Professor. The city's 78% internet penetration rate among youth, coupled with its aggressive public-private partnerships in education, creates a unique opportunity for scalable solutions like ours. This report specifically analyzes Professor's performance within Medellín's distinct educational landscape – from municipal schools in Comuna 13 to private institutions like Universidad EAFIT and Colegio San José.</w:t>
      </w:r>
    </w:p>
    <w:bookmarkEnd w:id="21"/>
    <w:bookmarkStart w:id="24" w:name="q3-sales-performance-breakdown"/>
    <w:p>
      <w:pPr>
        <w:pStyle w:val="Heading2"/>
      </w:pPr>
      <w:r>
        <w:t xml:space="preserve">Q3 Sales Performance Breakdown</w:t>
      </w:r>
    </w:p>
    <w:bookmarkStart w:id="22" w:name="revenue-streams-medellín-focus"/>
    <w:p>
      <w:pPr>
        <w:pStyle w:val="Heading3"/>
      </w:pPr>
      <w:r>
        <w:t xml:space="preserve">Revenue Streams (Medellín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Q2 2023 Revenue (USD)</w:t>
            </w:r>
          </w:p>
        </w:tc>
        <w:tc>
          <w:tcPr/>
          <w:p>
            <w:pPr>
              <w:pStyle w:val="Compact"/>
              <w:jc w:val="left"/>
            </w:pPr>
            <w:r>
              <w:t xml:space="preserve">Q3 2023 Revenue (USD)</w:t>
            </w:r>
          </w:p>
        </w:tc>
        <w:tc>
          <w:tcPr/>
          <w:p>
            <w:pPr>
              <w:pStyle w:val="Compact"/>
              <w:jc w:val="left"/>
            </w:pPr>
            <w:r>
              <w:t xml:space="preserve">% Growth</w:t>
            </w:r>
          </w:p>
        </w:tc>
      </w:tr>
      <w:tr>
        <w:tc>
          <w:tcPr/>
          <w:p>
            <w:pPr>
              <w:pStyle w:val="Compact"/>
              <w:jc w:val="left"/>
            </w:pPr>
            <w:r>
              <w:t xml:space="preserve">Classroom Edition</w:t>
            </w:r>
          </w:p>
        </w:tc>
        <w:tc>
          <w:tcPr/>
          <w:p>
            <w:pPr>
              <w:pStyle w:val="Compact"/>
              <w:jc w:val="left"/>
            </w:pPr>
            <w:r>
              <w:t xml:space="preserve">$148,500</w:t>
            </w:r>
          </w:p>
        </w:tc>
        <w:tc>
          <w:tcPr/>
          <w:p>
            <w:pPr>
              <w:pStyle w:val="Compact"/>
              <w:jc w:val="left"/>
            </w:pPr>
            <w:r>
              <w:t xml:space="preserve">$216,700</w:t>
            </w:r>
          </w:p>
        </w:tc>
        <w:tc>
          <w:tcPr/>
          <w:p>
            <w:pPr>
              <w:pStyle w:val="Compact"/>
              <w:jc w:val="left"/>
            </w:pPr>
            <w:r>
              <w:t xml:space="preserve">45.9%</w:t>
            </w:r>
          </w:p>
        </w:tc>
      </w:tr>
      <w:tr>
        <w:tc>
          <w:tcPr/>
          <w:p>
            <w:pPr>
              <w:pStyle w:val="Compact"/>
              <w:jc w:val="left"/>
            </w:pPr>
            <w:r>
              <w:t xml:space="preserve">Digital Curriculum Packages</w:t>
            </w:r>
          </w:p>
        </w:tc>
        <w:tc>
          <w:tcPr>
            <w:gridSpan w:val="2"/>
          </w:tcPr>
          <w:p>
            <w:pPr>
              <w:pStyle w:val="Compact"/>
              <w:jc w:val="left"/>
            </w:pPr>
            <w:r>
              <w:t xml:space="preserve">Specialized for Medellín's bilingual schools (e.g., Colegio Los Andes)</w:t>
            </w:r>
          </w:p>
        </w:tc>
        <w:tc>
          <w:tcPr/>
          <w:p>
            <w:pPr>
              <w:pStyle w:val="Compact"/>
            </w:pPr>
          </w:p>
        </w:tc>
      </w:tr>
      <w:tr>
        <w:tc>
          <w:tcPr/>
          <w:p>
            <w:pPr>
              <w:pStyle w:val="Compact"/>
              <w:jc w:val="left"/>
            </w:pPr>
            <w:r>
              <w:t xml:space="preserve">Teacher Training Programs</w:t>
            </w:r>
          </w:p>
        </w:tc>
        <w:tc>
          <w:tcPr/>
          <w:p>
            <w:pPr>
              <w:pStyle w:val="Compact"/>
              <w:jc w:val="left"/>
            </w:pPr>
            <w:r>
              <w:t xml:space="preserve">$87,200</w:t>
            </w:r>
          </w:p>
        </w:tc>
        <w:tc>
          <w:tcPr/>
          <w:p>
            <w:pPr>
              <w:pStyle w:val="Compact"/>
              <w:jc w:val="left"/>
            </w:pPr>
            <w:r>
              <w:t xml:space="preserve">$154,900</w:t>
            </w:r>
          </w:p>
        </w:tc>
        <w:tc>
          <w:tcPr/>
          <w:p>
            <w:pPr>
              <w:pStyle w:val="Compact"/>
              <w:jc w:val="left"/>
            </w:pPr>
            <w:r>
              <w:t xml:space="preserve">77.6%</w:t>
            </w:r>
          </w:p>
        </w:tc>
      </w:tr>
      <w:tr>
        <w:tc>
          <w:tcPr/>
          <w:p>
            <w:pPr>
              <w:pStyle w:val="Compact"/>
              <w:jc w:val="left"/>
            </w:pPr>
            <w:r>
              <w:t xml:space="preserve">Total Medellín Revenue</w:t>
            </w:r>
          </w:p>
        </w:tc>
        <w:tc>
          <w:tcPr>
            <w:gridSpan w:val="2"/>
          </w:tcPr>
          <w:p>
            <w:pPr>
              <w:pStyle w:val="Compact"/>
              <w:jc w:val="left"/>
            </w:pPr>
            <w:r>
              <w:t xml:space="preserve">$369,100</w:t>
            </w:r>
          </w:p>
        </w:tc>
        <w:tc>
          <w:tcPr/>
          <w:p>
            <w:pPr>
              <w:pStyle w:val="Compact"/>
              <w:jc w:val="left"/>
            </w:pPr>
            <w:r>
              <w:t xml:space="preserve">34.2% YoY</w:t>
            </w:r>
          </w:p>
        </w:tc>
      </w:tr>
    </w:tbl>
    <w:bookmarkEnd w:id="22"/>
    <w:bookmarkStart w:id="23" w:name="distribution-channels-market-penetration"/>
    <w:p>
      <w:pPr>
        <w:pStyle w:val="Heading3"/>
      </w:pPr>
      <w:r>
        <w:t xml:space="preserve">Distribution Channels &amp; Market Penetration</w:t>
      </w:r>
    </w:p>
    <w:p>
      <w:pPr>
        <w:pStyle w:val="FirstParagraph"/>
      </w:pPr>
      <w:r>
        <w:t xml:space="preserve">Professor's sales strategy in Medellín leverages three critical channels:</w:t>
      </w:r>
    </w:p>
    <w:p>
      <w:pPr>
        <w:numPr>
          <w:ilvl w:val="0"/>
          <w:numId w:val="1001"/>
        </w:numPr>
        <w:pStyle w:val="Compact"/>
      </w:pPr>
      <w:r>
        <w:rPr>
          <w:bCs/>
          <w:b/>
        </w:rPr>
        <w:t xml:space="preserve">Public School Partnerships (52% of revenue):</w:t>
      </w:r>
      <w:r>
        <w:t xml:space="preserve"> </w:t>
      </w:r>
      <w:r>
        <w:t xml:space="preserve">Secured contracts with 14 Medellín municipal schools through the city's "Aulas Digitales" initiative, including 3 new installations in high-impact neighborhoods like El Poblado and Santa Elena.</w:t>
      </w:r>
    </w:p>
    <w:p>
      <w:pPr>
        <w:numPr>
          <w:ilvl w:val="0"/>
          <w:numId w:val="1001"/>
        </w:numPr>
        <w:pStyle w:val="Compact"/>
      </w:pPr>
      <w:r>
        <w:rPr>
          <w:bCs/>
          <w:b/>
        </w:rPr>
        <w:t xml:space="preserve">Private Institutional Sales (38% of revenue):</w:t>
      </w:r>
      <w:r>
        <w:t xml:space="preserve"> </w:t>
      </w:r>
      <w:r>
        <w:t xml:space="preserve">Expanded to 5 premium private schools (e.g., Colegio Nueva Granada) with customized bilingual curriculum modules addressing Colombia's 2023 national education reform requirements.</w:t>
      </w:r>
    </w:p>
    <w:p>
      <w:pPr>
        <w:numPr>
          <w:ilvl w:val="0"/>
          <w:numId w:val="1001"/>
        </w:numPr>
        <w:pStyle w:val="Compact"/>
      </w:pPr>
      <w:r>
        <w:rPr>
          <w:bCs/>
          <w:b/>
        </w:rPr>
        <w:t xml:space="preserve">Digital Self-Service Platform (10% of revenue):</w:t>
      </w:r>
      <w:r>
        <w:t xml:space="preserve"> </w:t>
      </w:r>
      <w:r>
        <w:t xml:space="preserve">Grew by 63% through direct sales to parents and tutors via Professor's localized Spanish interface, capitalizing on Medellín's high smartphone adoption rate (91%) among families with school-aged children.</w:t>
      </w:r>
    </w:p>
    <w:bookmarkEnd w:id="23"/>
    <w:bookmarkEnd w:id="24"/>
    <w:bookmarkStart w:id="27" w:name="X79b7a85858deb6d66b518e86503f382a30b1c06"/>
    <w:p>
      <w:pPr>
        <w:pStyle w:val="Heading2"/>
      </w:pPr>
      <w:r>
        <w:t xml:space="preserve">Strategic Initiatives Driving Success in Colombia Medellín</w:t>
      </w:r>
    </w:p>
    <w:bookmarkStart w:id="25" w:name="localized-product-adaptation"/>
    <w:p>
      <w:pPr>
        <w:pStyle w:val="Heading3"/>
      </w:pPr>
      <w:r>
        <w:t xml:space="preserve">Localized Product Adaptation</w:t>
      </w:r>
    </w:p>
    <w:p>
      <w:pPr>
        <w:pStyle w:val="FirstParagraph"/>
      </w:pPr>
      <w:r>
        <w:t xml:space="preserve">Professor implemented critical modifications for the Medellín market, including:</w:t>
      </w:r>
    </w:p>
    <w:p>
      <w:pPr>
        <w:numPr>
          <w:ilvl w:val="0"/>
          <w:numId w:val="1002"/>
        </w:numPr>
        <w:pStyle w:val="Compact"/>
      </w:pPr>
      <w:r>
        <w:rPr>
          <w:iCs/>
          <w:i/>
        </w:rPr>
        <w:t xml:space="preserve">Cultural Context Integration:</w:t>
      </w:r>
      <w:r>
        <w:t xml:space="preserve"> </w:t>
      </w:r>
      <w:r>
        <w:t xml:space="preserve">All math content now features local examples (e.g., using Medellín's Metrocable system for geometry problems)</w:t>
      </w:r>
    </w:p>
    <w:p>
      <w:pPr>
        <w:numPr>
          <w:ilvl w:val="0"/>
          <w:numId w:val="1002"/>
        </w:numPr>
        <w:pStyle w:val="Compact"/>
      </w:pPr>
      <w:r>
        <w:rPr>
          <w:iCs/>
          <w:i/>
        </w:rPr>
        <w:t xml:space="preserve">Spanish Dialect Optimization:</w:t>
      </w:r>
      <w:r>
        <w:t xml:space="preserve"> </w:t>
      </w:r>
      <w:r>
        <w:t xml:space="preserve">Enhanced interface for Andean Spanish pronunciation patterns used across Antioquia</w:t>
      </w:r>
    </w:p>
    <w:p>
      <w:pPr>
        <w:numPr>
          <w:ilvl w:val="0"/>
          <w:numId w:val="1002"/>
        </w:numPr>
        <w:pStyle w:val="Compact"/>
      </w:pPr>
      <w:r>
        <w:rPr>
          <w:iCs/>
          <w:i/>
        </w:rPr>
        <w:t xml:space="preserve">Power Resilience Features:</w:t>
      </w:r>
      <w:r>
        <w:t xml:space="preserve"> </w:t>
      </w:r>
      <w:r>
        <w:t xml:space="preserve">Added offline functionality addressing Medellín's frequent electrical grid fluctuations in peripheral districts</w:t>
      </w:r>
    </w:p>
    <w:bookmarkEnd w:id="25"/>
    <w:bookmarkStart w:id="26" w:name="community-driven-engagement"/>
    <w:p>
      <w:pPr>
        <w:pStyle w:val="Heading3"/>
      </w:pPr>
      <w:r>
        <w:t xml:space="preserve">Community-Driven Engagement</w:t>
      </w:r>
    </w:p>
    <w:p>
      <w:pPr>
        <w:pStyle w:val="FirstParagraph"/>
      </w:pPr>
      <w:r>
        <w:t xml:space="preserve">The Professor Medellín team executed the "Professor Misiones" program, deploying field specialists to conduct workshops in underserved Comunas. This initiative directly resulted in 12 new public school contracts and generated significant positive word-of-mouth within teacher networks. The project received recognition from Medellín's Secretaría de Educación as a "Best Practice for Educational Equity."</w:t>
      </w:r>
    </w:p>
    <w:bookmarkEnd w:id="26"/>
    <w:bookmarkEnd w:id="27"/>
    <w:bookmarkStart w:id="28" w:name="challenges-mitigation-strategies"/>
    <w:p>
      <w:pPr>
        <w:pStyle w:val="Heading2"/>
      </w:pPr>
      <w:r>
        <w:t xml:space="preserve">Challenges &amp; Mitigation Strategies</w:t>
      </w:r>
    </w:p>
    <w:p>
      <w:pPr>
        <w:pStyle w:val="FirstParagraph"/>
      </w:pPr>
      <w:r>
        <w:t xml:space="preserve">Key challenges encountered in Colombia Medellín included:</w:t>
      </w:r>
    </w:p>
    <w:p>
      <w:pPr>
        <w:numPr>
          <w:ilvl w:val="0"/>
          <w:numId w:val="1003"/>
        </w:numPr>
        <w:pStyle w:val="Compact"/>
      </w:pPr>
      <w:r>
        <w:rPr>
          <w:iCs/>
          <w:i/>
        </w:rPr>
        <w:t xml:space="preserve">Regulatory Complexity:</w:t>
      </w:r>
      <w:r>
        <w:t xml:space="preserve"> </w:t>
      </w:r>
      <w:r>
        <w:t xml:space="preserve">Navigating Colombia's new LOPNNA (National Education Law) required rapid product compliance. Professor resolved this through dedicated legal partnerships with local firms like Mora &amp; Asociados, adding necessary data privacy features within 45 days.</w:t>
      </w:r>
    </w:p>
    <w:p>
      <w:pPr>
        <w:numPr>
          <w:ilvl w:val="0"/>
          <w:numId w:val="1003"/>
        </w:numPr>
        <w:pStyle w:val="Compact"/>
      </w:pPr>
      <w:r>
        <w:rPr>
          <w:iCs/>
          <w:i/>
        </w:rPr>
        <w:t xml:space="preserve">Infrastructure Gaps:</w:t>
      </w:r>
      <w:r>
        <w:t xml:space="preserve"> </w:t>
      </w:r>
      <w:r>
        <w:t xml:space="preserve">Power instability in Comuna 13 necessitated hardware subsidies. We partnered with Medellín's "Sistema de Transporte Masivo" (STM) to provide solar-powered classroom kits, reducing downtime by 78%.</w:t>
      </w:r>
    </w:p>
    <w:p>
      <w:pPr>
        <w:numPr>
          <w:ilvl w:val="0"/>
          <w:numId w:val="1003"/>
        </w:numPr>
        <w:pStyle w:val="Compact"/>
      </w:pPr>
      <w:r>
        <w:rPr>
          <w:iCs/>
          <w:i/>
        </w:rPr>
        <w:t xml:space="preserve">Cultural Misalignment:</w:t>
      </w:r>
      <w:r>
        <w:t xml:space="preserve"> </w:t>
      </w:r>
      <w:r>
        <w:t xml:space="preserve">Initial teacher resistance due to unfamiliar digital workflows was overcome through our "Professor Ambassador" program – training 32 local educators as peer champions in Medellín schools.</w:t>
      </w:r>
    </w:p>
    <w:bookmarkEnd w:id="28"/>
    <w:bookmarkStart w:id="29" w:name="Xb8b352e923b42e67a89dc7c60a5df6d83931cb0"/>
    <w:p>
      <w:pPr>
        <w:pStyle w:val="Heading2"/>
      </w:pPr>
      <w:r>
        <w:t xml:space="preserve">Future Outlook: Professor's Growth Path in Colombia Medellín</w:t>
      </w:r>
    </w:p>
    <w:p>
      <w:pPr>
        <w:pStyle w:val="FirstParagraph"/>
      </w:pPr>
      <w:r>
        <w:t xml:space="preserve">The Q4 2023 strategy focuses on three pillars to accelerate growth within the Colombia Medellín market:</w:t>
      </w:r>
    </w:p>
    <w:p>
      <w:pPr>
        <w:numPr>
          <w:ilvl w:val="0"/>
          <w:numId w:val="1004"/>
        </w:numPr>
        <w:pStyle w:val="Compact"/>
      </w:pPr>
      <w:r>
        <w:rPr>
          <w:bCs/>
          <w:b/>
        </w:rPr>
        <w:t xml:space="preserve">Expansion into Vocational Education:</w:t>
      </w:r>
      <w:r>
        <w:t xml:space="preserve"> </w:t>
      </w:r>
      <w:r>
        <w:t xml:space="preserve">Partnering with Medellín's Centro de Formación Tecnológica (CFT) to develop industry-specific modules for 5,000 technical students by Q1 2024.</w:t>
      </w:r>
    </w:p>
    <w:p>
      <w:pPr>
        <w:numPr>
          <w:ilvl w:val="0"/>
          <w:numId w:val="1004"/>
        </w:numPr>
        <w:pStyle w:val="Compact"/>
      </w:pPr>
      <w:r>
        <w:rPr>
          <w:bCs/>
          <w:b/>
        </w:rPr>
        <w:t xml:space="preserve">Sustainability Integration:</w:t>
      </w:r>
      <w:r>
        <w:t xml:space="preserve"> </w:t>
      </w:r>
      <w:r>
        <w:t xml:space="preserve">Launching a carbon-neutral classroom initiative aligning with Medellín's "Green City" goals, targeting 35 schools by year-end.</w:t>
      </w:r>
    </w:p>
    <w:p>
      <w:pPr>
        <w:numPr>
          <w:ilvl w:val="0"/>
          <w:numId w:val="1004"/>
        </w:numPr>
        <w:pStyle w:val="Compact"/>
      </w:pPr>
      <w:r>
        <w:rPr>
          <w:bCs/>
          <w:b/>
        </w:rPr>
        <w:t xml:space="preserve">Government Partnership Scaling:</w:t>
      </w:r>
      <w:r>
        <w:t xml:space="preserve"> </w:t>
      </w:r>
      <w:r>
        <w:t xml:space="preserve">Securing inclusion in Medellín's 2024 education budget allocation for the "Digital Education Corridor" project across all 16 municipal districts.</w:t>
      </w:r>
    </w:p>
    <w:p>
      <w:pPr>
        <w:pStyle w:val="FirstParagraph"/>
      </w:pPr>
      <w:r>
        <w:t xml:space="preserve">Projections indicate Professor could capture 18% of Medellín's digital education market by Q3 2024, translating to $7.2M in annual revenue from the city alone. This represents a five-fold increase from our 2021 baseline, demonstrating how strategic localization – not just product adaptation but genuine community integration – drives success in Colombia Medellín.</w:t>
      </w:r>
    </w:p>
    <w:bookmarkEnd w:id="29"/>
    <w:bookmarkStart w:id="30" w:name="Xe018cb4284ee2b0841f16591178ce4c5d7363ae"/>
    <w:p>
      <w:pPr>
        <w:pStyle w:val="Heading2"/>
      </w:pPr>
      <w:r>
        <w:t xml:space="preserve">Conclusion: Professor's Medellín Imperative</w:t>
      </w:r>
    </w:p>
    <w:p>
      <w:pPr>
        <w:pStyle w:val="FirstParagraph"/>
      </w:pPr>
      <w:r>
        <w:t xml:space="preserve">This Sales Report underscores that Professor's growth in Colombia Medellín is more than a regional achievement—it is the blueprint for our entire Latin American strategy. The city's unique blend of entrepreneurial energy, educational ambition, and infrastructure challenges has allowed us to refine our solution to unprecedented effectiveness. As Professor continues scaling operations in this vibrant hub, we are not merely selling software; we are becoming embedded in Medellín's educational DNA through initiatives like the "Professor Academy" at Universidad de Antioquia. The data is clear: when technology meets local context with respect and precision—as Professor does in Colombia Medellín—sustainable growth becomes inevitable. We remain committed to making every classroom across Medellín a testament to what's possible when innovation serves community.</w:t>
      </w:r>
    </w:p>
    <w:p>
      <w:r>
        <w:pict>
          <v:rect style="width:0;height:1.5pt" o:hralign="center" o:hrstd="t" o:hr="t"/>
        </w:pict>
      </w:r>
    </w:p>
    <w:p>
      <w:pPr>
        <w:pStyle w:val="FirstParagraph"/>
      </w:pPr>
      <w:r>
        <w:rPr>
          <w:iCs/>
          <w:i/>
        </w:rPr>
        <w:t xml:space="preserve">Prepared by: Global Sales Strategy Division | Date: October 15, 2023 | Confidential for Internal Use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Professor - Colombia Medellín Market Performance</dc:title>
  <dc:creator/>
  <dc:language>en</dc:language>
  <cp:keywords/>
  <dcterms:created xsi:type="dcterms:W3CDTF">2026-07-23T20:27:20Z</dcterms:created>
  <dcterms:modified xsi:type="dcterms:W3CDTF">2026-07-23T20:27:20Z</dcterms:modified>
</cp:coreProperties>
</file>

<file path=docProps/custom.xml><?xml version="1.0" encoding="utf-8"?>
<Properties xmlns="http://schemas.openxmlformats.org/officeDocument/2006/custom-properties" xmlns:vt="http://schemas.openxmlformats.org/officeDocument/2006/docPropsVTypes"/>
</file>