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Product</w:t>
      </w:r>
      <w:r>
        <w:t xml:space="preserve"> </w:t>
      </w:r>
      <w:r>
        <w:t xml:space="preserve">Line</w:t>
      </w:r>
      <w:r>
        <w:t xml:space="preserve"> </w:t>
      </w:r>
      <w:r>
        <w:t xml:space="preserve">-</w:t>
      </w:r>
      <w:r>
        <w:t xml:space="preserve"> </w:t>
      </w:r>
      <w:r>
        <w:t xml:space="preserve">France</w:t>
      </w:r>
      <w:r>
        <w:t xml:space="preserve"> </w:t>
      </w:r>
      <w:r>
        <w:t xml:space="preserve">Marseille</w:t>
      </w:r>
    </w:p>
    <w:bookmarkStart w:id="31" w:name="X407ea1749237136bd7d7799d62c813c3cfe8821"/>
    <w:p>
      <w:pPr>
        <w:pStyle w:val="Heading1"/>
      </w:pPr>
      <w:r>
        <w:t xml:space="preserve">Comprehensive Sales Report: Professor Product Line Performance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France - Marseille Metropolitan Area</w:t>
      </w:r>
    </w:p>
    <w:bookmarkStart w:id="20" w:name="i.-executive-summary"/>
    <w:p>
      <w:pPr>
        <w:pStyle w:val="Heading2"/>
      </w:pPr>
      <w:r>
        <w:t xml:space="preserve">I. Executive Summary</w:t>
      </w:r>
    </w:p>
    <w:p>
      <w:pPr>
        <w:pStyle w:val="FirstParagraph"/>
      </w:pPr>
      <w:r>
        <w:t xml:space="preserve">This Sales Report details the performance of the</w:t>
      </w:r>
      <w:r>
        <w:t xml:space="preserve"> </w:t>
      </w:r>
      <w:r>
        <w:rPr>
          <w:iCs/>
          <w:i/>
        </w:rPr>
        <w:t xml:space="preserve">Professor</w:t>
      </w:r>
      <w:r>
        <w:t xml:space="preserve"> </w:t>
      </w:r>
      <w:r>
        <w:t xml:space="preserve">educational technology product line across the Marseille metropolitan region during Q3 2023 (July 1 - September 30). Despite navigating France's complex educational procurement landscape,</w:t>
      </w:r>
      <w:r>
        <w:t xml:space="preserve"> </w:t>
      </w:r>
      <w:r>
        <w:rPr>
          <w:iCs/>
          <w:i/>
        </w:rPr>
        <w:t xml:space="preserve">Professor</w:t>
      </w:r>
      <w:r>
        <w:t xml:space="preserve"> </w:t>
      </w:r>
      <w:r>
        <w:t xml:space="preserve">achieved remarkable success, securing a 27% year-over-year revenue increase in</w:t>
      </w:r>
      <w:r>
        <w:t xml:space="preserve"> </w:t>
      </w:r>
      <w:r>
        <w:rPr>
          <w:bCs/>
          <w:b/>
        </w:rPr>
        <w:t xml:space="preserve">France Marseille</w:t>
      </w:r>
      <w:r>
        <w:t xml:space="preserve">. The report analyzes market dynamics, customer acquisition strategies, and outlines strategic recommendations to sustain momentum. Notably, Marseille's unique educational ecosystem proved instrumental in demonstrating the scalability of the</w:t>
      </w:r>
      <w:r>
        <w:t xml:space="preserve"> </w:t>
      </w:r>
      <w:r>
        <w:rPr>
          <w:iCs/>
          <w:i/>
        </w:rPr>
        <w:t xml:space="preserve">Professor</w:t>
      </w:r>
      <w:r>
        <w:t xml:space="preserve"> </w:t>
      </w:r>
      <w:r>
        <w:t xml:space="preserve">platform across French academic institutions.</w:t>
      </w:r>
    </w:p>
    <w:bookmarkEnd w:id="20"/>
    <w:bookmarkStart w:id="21" w:name="Xb1e396c38ee1e35016ad52793a0c58aece89fe9"/>
    <w:p>
      <w:pPr>
        <w:pStyle w:val="Heading2"/>
      </w:pPr>
      <w:r>
        <w:t xml:space="preserve">II. Market Context: Why France Marseille Matters</w:t>
      </w:r>
    </w:p>
    <w:p>
      <w:pPr>
        <w:pStyle w:val="FirstParagraph"/>
      </w:pPr>
      <w:r>
        <w:t xml:space="preserve">Marseille represents a critical growth corridor for educational technology in France. As Europe's second-largest city and a UNESCO City of Education, it hosts 18 public universities, 300+ high schools, and the largest student population in Southern France. The regional government's "Digital Learning Initiative" prioritized innovative EdTech solutions – creating a fertile environment for</w:t>
      </w:r>
      <w:r>
        <w:t xml:space="preserve"> </w:t>
      </w:r>
      <w:r>
        <w:rPr>
          <w:iCs/>
          <w:i/>
        </w:rPr>
        <w:t xml:space="preserve">Professor</w:t>
      </w:r>
      <w:r>
        <w:t xml:space="preserve">. This Sales Report underscores how our Marseille operations leveraged local partnerships with the Aix-Marseille University consortium and Marseille City Council to establish a benchmark for national expansion.</w:t>
      </w:r>
    </w:p>
    <w:bookmarkEnd w:id="21"/>
    <w:bookmarkStart w:id="22" w:name="X651d7e53ff188993097a57dbe7898dae7deebf5"/>
    <w:p>
      <w:pPr>
        <w:pStyle w:val="Heading2"/>
      </w:pPr>
      <w:r>
        <w:t xml:space="preserve">III. 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Revenue (€)</w:t>
            </w:r>
          </w:p>
        </w:tc>
        <w:tc>
          <w:tcPr/>
          <w:p>
            <w:pPr>
              <w:pStyle w:val="Compact"/>
              <w:jc w:val="left"/>
            </w:pPr>
            <w:r>
              <w:t xml:space="preserve">€1,485,000</w:t>
            </w:r>
          </w:p>
        </w:tc>
        <w:tc>
          <w:tcPr/>
          <w:p>
            <w:pPr>
              <w:pStyle w:val="Compact"/>
              <w:jc w:val="left"/>
            </w:pPr>
            <w:r>
              <w:t xml:space="preserve">€1,169,300</w:t>
            </w:r>
          </w:p>
        </w:tc>
        <w:tc>
          <w:tcPr/>
          <w:p>
            <w:pPr>
              <w:pStyle w:val="Compact"/>
              <w:jc w:val="left"/>
            </w:pPr>
            <w:r>
              <w:t xml:space="preserve">+27%</w:t>
            </w:r>
          </w:p>
        </w:tc>
      </w:tr>
      <w:tr>
        <w:tc>
          <w:tcPr/>
          <w:p>
            <w:pPr>
              <w:pStyle w:val="Compact"/>
              <w:jc w:val="left"/>
            </w:pPr>
            <w:r>
              <w:t xml:space="preserve">New Institutional Contracts</w:t>
            </w:r>
          </w:p>
        </w:tc>
        <w:tc>
          <w:tcPr>
            <w:gridSpan w:val="2"/>
          </w:tcPr>
          <w:p>
            <w:pPr>
              <w:pStyle w:val="Compact"/>
              <w:jc w:val="left"/>
            </w:pPr>
            <w:r>
              <w:t xml:space="preserve">42</w:t>
            </w:r>
          </w:p>
        </w:tc>
        <w:tc>
          <w:tcPr/>
          <w:p>
            <w:pPr>
              <w:pStyle w:val="Compact"/>
              <w:jc w:val="left"/>
            </w:pPr>
            <w:r>
              <w:t xml:space="preserve">+35%</w:t>
            </w:r>
          </w:p>
        </w:tc>
      </w:tr>
      <w:tr>
        <w:tc>
          <w:tcPr/>
          <w:p>
            <w:pPr>
              <w:pStyle w:val="Compact"/>
              <w:jc w:val="left"/>
            </w:pPr>
            <w:r>
              <w:t xml:space="preserve">University Adoption Rate</w:t>
            </w:r>
          </w:p>
        </w:tc>
        <w:tc>
          <w:tcPr/>
          <w:p>
            <w:pPr>
              <w:pStyle w:val="Compact"/>
              <w:jc w:val="left"/>
            </w:pPr>
            <w:r>
              <w:t xml:space="preserve">68% (up from 49%)</w:t>
            </w:r>
          </w:p>
        </w:tc>
        <w:tc>
          <w:tcPr>
            <w:gridSpan w:val="2"/>
          </w:tcPr>
          <w:p>
            <w:pPr>
              <w:pStyle w:val="Compact"/>
            </w:pPr>
          </w:p>
        </w:tc>
      </w:tr>
      <w:tr>
        <w:tc>
          <w:tcPr/>
          <w:p>
            <w:pPr>
              <w:pStyle w:val="Compact"/>
              <w:jc w:val="left"/>
            </w:pPr>
            <w:r>
              <w:t xml:space="preserve">Student User Growth</w:t>
            </w:r>
          </w:p>
        </w:tc>
        <w:tc>
          <w:tcPr/>
          <w:p>
            <w:pPr>
              <w:pStyle w:val="Compact"/>
              <w:jc w:val="left"/>
            </w:pPr>
            <w:r>
              <w:t xml:space="preserve">12,700 students</w:t>
            </w:r>
          </w:p>
        </w:tc>
        <w:tc>
          <w:tcPr/>
          <w:p>
            <w:pPr>
              <w:pStyle w:val="Compact"/>
              <w:jc w:val="left"/>
            </w:pPr>
            <w:r>
              <w:t xml:space="preserve">9,350 students</w:t>
            </w:r>
          </w:p>
        </w:tc>
        <w:tc>
          <w:tcPr/>
          <w:p>
            <w:pPr>
              <w:pStyle w:val="Compact"/>
              <w:jc w:val="left"/>
            </w:pPr>
            <w:r>
              <w:t xml:space="preserve">+36%</w:t>
            </w:r>
          </w:p>
        </w:tc>
      </w:tr>
    </w:tbl>
    <w:p>
      <w:pPr>
        <w:pStyle w:val="BodyText"/>
      </w:pPr>
      <w:r>
        <w:t xml:space="preserve">The Marseille market demonstrated exceptional engagement with the</w:t>
      </w:r>
      <w:r>
        <w:t xml:space="preserve"> </w:t>
      </w:r>
      <w:r>
        <w:rPr>
          <w:iCs/>
          <w:i/>
        </w:rPr>
        <w:t xml:space="preserve">Professor</w:t>
      </w:r>
      <w:r>
        <w:t xml:space="preserve">'s AI-driven curriculum tools. Key drivers included:</w:t>
      </w:r>
    </w:p>
    <w:p>
      <w:pPr>
        <w:numPr>
          <w:ilvl w:val="0"/>
          <w:numId w:val="1001"/>
        </w:numPr>
        <w:pStyle w:val="Compact"/>
      </w:pPr>
      <w:r>
        <w:t xml:space="preserve">Successful pilot program at Aix-Marseille University (40% enrollment uptake)</w:t>
      </w:r>
    </w:p>
    <w:p>
      <w:pPr>
        <w:numPr>
          <w:ilvl w:val="0"/>
          <w:numId w:val="1001"/>
        </w:numPr>
        <w:pStyle w:val="Compact"/>
      </w:pPr>
      <w:r>
        <w:t xml:space="preserve">French Ministry of Education's "Digital School" certification for Professor products</w:t>
      </w:r>
    </w:p>
    <w:p>
      <w:pPr>
        <w:numPr>
          <w:ilvl w:val="0"/>
          <w:numId w:val="1001"/>
        </w:numPr>
        <w:pStyle w:val="Compact"/>
      </w:pPr>
      <w:r>
        <w:t xml:space="preserve">Strategic partnerships with Marseille-based edtech hub, Lab'Innov'</w:t>
      </w:r>
    </w:p>
    <w:bookmarkEnd w:id="22"/>
    <w:bookmarkStart w:id="26" w:name="Xb22a30d645b7a1b095c9d4395dd2442dbdd3977"/>
    <w:p>
      <w:pPr>
        <w:pStyle w:val="Heading2"/>
      </w:pPr>
      <w:r>
        <w:t xml:space="preserve">IV. Regional Strategy &amp; Implementation (France Marseille Focus)</w:t>
      </w:r>
    </w:p>
    <w:p>
      <w:pPr>
        <w:pStyle w:val="FirstParagraph"/>
      </w:pPr>
      <w:r>
        <w:t xml:space="preserve">The Marseille sales team executed a hyper-localized approach that directly contributed to this Sales Report's positive outcomes:</w:t>
      </w:r>
    </w:p>
    <w:bookmarkStart w:id="23" w:name="a.-cultural-integration"/>
    <w:p>
      <w:pPr>
        <w:pStyle w:val="Heading3"/>
      </w:pPr>
      <w:r>
        <w:t xml:space="preserve">A. Cultural Integration</w:t>
      </w:r>
    </w:p>
    <w:p>
      <w:pPr>
        <w:pStyle w:val="FirstParagraph"/>
      </w:pPr>
      <w:r>
        <w:t xml:space="preserve">We embedded French-speaking product specialists within the Marseille office to navigate France's stringent data privacy laws (RGPD) and educational standards. The "Professor" platform was fully localized with French curricula mappings for Math, Sciences, and Literature – a critical differentiator from generic EdTech solutions. This localization effort directly addressed Marseille's need for regionally relevant content in our Sales Report findings.</w:t>
      </w:r>
    </w:p>
    <w:bookmarkEnd w:id="23"/>
    <w:bookmarkStart w:id="24" w:name="b.-stakeholder-engagement"/>
    <w:p>
      <w:pPr>
        <w:pStyle w:val="Heading3"/>
      </w:pPr>
      <w:r>
        <w:t xml:space="preserve">B. Stakeholder Engagement</w:t>
      </w:r>
    </w:p>
    <w:p>
      <w:pPr>
        <w:pStyle w:val="FirstParagraph"/>
      </w:pPr>
      <w:r>
        <w:t xml:space="preserve">Weekly workshops were held with the Marseille Regional Education Directorate (DREETS), resulting in three major framework agreements covering 120+ schools. The partnership with local teacher unions, particularly "SNUipp-FSU Marseille," was pivotal – their endorsement increased school adoption by 41%.</w:t>
      </w:r>
    </w:p>
    <w:bookmarkEnd w:id="24"/>
    <w:bookmarkStart w:id="25" w:name="c.-student-centric-launch"/>
    <w:p>
      <w:pPr>
        <w:pStyle w:val="Heading3"/>
      </w:pPr>
      <w:r>
        <w:t xml:space="preserve">C. Student-Centric Launch</w:t>
      </w:r>
    </w:p>
    <w:p>
      <w:pPr>
        <w:pStyle w:val="FirstParagraph"/>
      </w:pPr>
      <w:r>
        <w:t xml:space="preserve">Launched the "Professor Ambassadors" program in Marseille high schools, training student tech champions to drive peer adoption. This initiative generated a 28% viral acquisition rate within participating schools – a standout metric featured in this Sales Report.</w:t>
      </w:r>
    </w:p>
    <w:bookmarkEnd w:id="25"/>
    <w:bookmarkEnd w:id="26"/>
    <w:bookmarkStart w:id="27" w:name="v.-challenges-mitigation-strategies"/>
    <w:p>
      <w:pPr>
        <w:pStyle w:val="Heading2"/>
      </w:pPr>
      <w:r>
        <w:t xml:space="preserve">V. Challenges &amp; Mitigation Strategies</w:t>
      </w:r>
    </w:p>
    <w:p>
      <w:pPr>
        <w:pStyle w:val="FirstParagraph"/>
      </w:pPr>
      <w:r>
        <w:t xml:space="preserve">Operating within France's educational bureaucracy presented hurdles addressed through our Marseille-based team:</w:t>
      </w:r>
    </w:p>
    <w:p>
      <w:pPr>
        <w:numPr>
          <w:ilvl w:val="0"/>
          <w:numId w:val="1002"/>
        </w:numPr>
        <w:pStyle w:val="Compact"/>
      </w:pPr>
      <w:r>
        <w:rPr>
          <w:bCs/>
          <w:b/>
        </w:rPr>
        <w:t xml:space="preserve">Challenge:</w:t>
      </w:r>
      <w:r>
        <w:t xml:space="preserve"> </w:t>
      </w:r>
      <w:r>
        <w:t xml:space="preserve">Lengthy procurement cycles with French public institutions</w:t>
      </w:r>
      <w:r>
        <w:br/>
      </w:r>
      <w:r>
        <w:rPr>
          <w:bCs/>
          <w:b/>
        </w:rPr>
        <w:t xml:space="preserve">Solution:</w:t>
      </w:r>
      <w:r>
        <w:t xml:space="preserve"> </w:t>
      </w:r>
      <w:r>
        <w:t xml:space="preserve">Established dedicated "Procurement Liaison" role in Marseille office, reducing approval timelines by 52%</w:t>
      </w:r>
    </w:p>
    <w:p>
      <w:pPr>
        <w:numPr>
          <w:ilvl w:val="0"/>
          <w:numId w:val="1002"/>
        </w:numPr>
        <w:pStyle w:val="Compact"/>
      </w:pPr>
      <w:r>
        <w:rPr>
          <w:bCs/>
          <w:b/>
        </w:rPr>
        <w:t xml:space="preserve">Challenge:</w:t>
      </w:r>
      <w:r>
        <w:t xml:space="preserve"> </w:t>
      </w:r>
      <w:r>
        <w:t xml:space="preserve">Teacher resistance to new technology adoption</w:t>
      </w:r>
      <w:r>
        <w:br/>
      </w:r>
      <w:r>
        <w:rPr>
          <w:bCs/>
          <w:b/>
        </w:rPr>
        <w:t xml:space="preserve">Solution:</w:t>
      </w:r>
      <w:r>
        <w:t xml:space="preserve"> </w:t>
      </w:r>
      <w:r>
        <w:t xml:space="preserve">Implemented mandatory "Professor Pedagogy Workshops" co-led by Marseille educators – increasing teacher satisfaction scores to 4.7/5</w:t>
      </w:r>
    </w:p>
    <w:bookmarkEnd w:id="27"/>
    <w:bookmarkStart w:id="28" w:name="Xc55011ec7f4a968054267920a272acd9e62e692"/>
    <w:p>
      <w:pPr>
        <w:pStyle w:val="Heading2"/>
      </w:pPr>
      <w:r>
        <w:t xml:space="preserve">VII. Future Roadmap: Scaling Professor in France Marseille</w:t>
      </w:r>
    </w:p>
    <w:p>
      <w:pPr>
        <w:pStyle w:val="FirstParagraph"/>
      </w:pPr>
      <w:r>
        <w:t xml:space="preserve">Based on Q3 success, we recommend the following strategic priorities for the</w:t>
      </w:r>
      <w:r>
        <w:t xml:space="preserve"> </w:t>
      </w:r>
      <w:r>
        <w:rPr>
          <w:iCs/>
          <w:i/>
        </w:rPr>
        <w:t xml:space="preserve">Professor</w:t>
      </w:r>
      <w:r>
        <w:t xml:space="preserve"> </w:t>
      </w:r>
      <w:r>
        <w:t xml:space="preserve">product line in Marseille:</w:t>
      </w:r>
    </w:p>
    <w:p>
      <w:pPr>
        <w:numPr>
          <w:ilvl w:val="0"/>
          <w:numId w:val="1003"/>
        </w:numPr>
        <w:pStyle w:val="Compact"/>
      </w:pPr>
      <w:r>
        <w:rPr>
          <w:bCs/>
          <w:b/>
        </w:rPr>
        <w:t xml:space="preserve">Leverage Marseille as National Hub:</w:t>
      </w:r>
      <w:r>
        <w:t xml:space="preserve"> </w:t>
      </w:r>
      <w:r>
        <w:t xml:space="preserve">Establish a permanent France headquarters in Marseille to service all Southern regions, capitalizing on existing infrastructure and talent pool.</w:t>
      </w:r>
    </w:p>
    <w:p>
      <w:pPr>
        <w:numPr>
          <w:ilvl w:val="0"/>
          <w:numId w:val="1003"/>
        </w:numPr>
        <w:pStyle w:val="Compact"/>
      </w:pPr>
      <w:r>
        <w:rPr>
          <w:bCs/>
          <w:b/>
        </w:rPr>
        <w:t xml:space="preserve">Certify for French Standards:</w:t>
      </w:r>
      <w:r>
        <w:t xml:space="preserve"> </w:t>
      </w:r>
      <w:r>
        <w:t xml:space="preserve">Pursue "Education France Qualité" certification by Q1 2024 – currently the top requirement for school adoption in</w:t>
      </w:r>
      <w:r>
        <w:t xml:space="preserve"> </w:t>
      </w:r>
      <w:r>
        <w:rPr>
          <w:bCs/>
          <w:b/>
        </w:rPr>
        <w:t xml:space="preserve">France Marseille</w:t>
      </w:r>
      <w:r>
        <w:t xml:space="preserve">.</w:t>
      </w:r>
    </w:p>
    <w:p>
      <w:pPr>
        <w:numPr>
          <w:ilvl w:val="0"/>
          <w:numId w:val="1003"/>
        </w:numPr>
        <w:pStyle w:val="Compact"/>
      </w:pPr>
      <w:r>
        <w:rPr>
          <w:bCs/>
          <w:b/>
        </w:rPr>
        <w:t xml:space="preserve">Expand to Vocational Training:</w:t>
      </w:r>
      <w:r>
        <w:t xml:space="preserve"> </w:t>
      </w:r>
      <w:r>
        <w:t xml:space="preserve">Target Marseille's renowned CFA (Apprenticeship Centers) with industry-specific Professor modules, representing a €3.7M untapped market.</w:t>
      </w:r>
    </w:p>
    <w:bookmarkEnd w:id="28"/>
    <w:bookmarkStart w:id="29" w:name="viii.-conclusion"/>
    <w:p>
      <w:pPr>
        <w:pStyle w:val="Heading2"/>
      </w:pPr>
      <w:r>
        <w:t xml:space="preserve">VIII. Conclusion</w:t>
      </w:r>
    </w:p>
    <w:p>
      <w:pPr>
        <w:pStyle w:val="FirstParagraph"/>
      </w:pPr>
      <w:r>
        <w:t xml:space="preserve">This Sales Report conclusively demonstrates that the</w:t>
      </w:r>
      <w:r>
        <w:t xml:space="preserve"> </w:t>
      </w:r>
      <w:r>
        <w:rPr>
          <w:iCs/>
          <w:i/>
        </w:rPr>
        <w:t xml:space="preserve">Professor</w:t>
      </w:r>
      <w:r>
        <w:t xml:space="preserve"> </w:t>
      </w:r>
      <w:r>
        <w:t xml:space="preserve">product line has achieved sustainable growth in the competitive Marseille educational market through cultural intelligence, localized strategy, and deep community integration. The 27% revenue surge in</w:t>
      </w:r>
      <w:r>
        <w:t xml:space="preserve"> </w:t>
      </w:r>
      <w:r>
        <w:rPr>
          <w:bCs/>
          <w:b/>
        </w:rPr>
        <w:t xml:space="preserve">France Marseille</w:t>
      </w:r>
      <w:r>
        <w:t xml:space="preserve"> </w:t>
      </w:r>
      <w:r>
        <w:t xml:space="preserve">is not merely a regional victory – it's a blueprint for national expansion. As we enter Q4, our focus shifts to transforming Marseille from a high-performing market into the operational nucleus for all French EdTech operations. The success here proves that when technology meets local context, "Professor" becomes more than a product; it becomes an indispensable educational partner in France's evolving academic landscape.</w:t>
      </w:r>
    </w:p>
    <w:bookmarkEnd w:id="29"/>
    <w:bookmarkStart w:id="30" w:name="X3a8712112c021cd32339cba6bc6db345a148d6a"/>
    <w:p>
      <w:pPr>
        <w:pStyle w:val="Heading2"/>
      </w:pPr>
      <w:r>
        <w:t xml:space="preserve">IX. Appendix: Key Metrics by Sub-Region (Marseille)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Municipality</w:t>
            </w:r>
          </w:p>
        </w:tc>
        <w:tc>
          <w:tcPr/>
          <w:p>
            <w:pPr>
              <w:pStyle w:val="Compact"/>
              <w:jc w:val="left"/>
            </w:pPr>
            <w:r>
              <w:t xml:space="preserve">Revenue Share</w:t>
            </w:r>
          </w:p>
        </w:tc>
        <w:tc>
          <w:tcPr/>
          <w:p>
            <w:pPr>
              <w:pStyle w:val="Compact"/>
              <w:jc w:val="left"/>
            </w:pPr>
            <w:r>
              <w:t xml:space="preserve">Growth vs 2022</w:t>
            </w:r>
          </w:p>
        </w:tc>
      </w:tr>
      <w:tr>
        <w:tc>
          <w:tcPr/>
          <w:p>
            <w:pPr>
              <w:pStyle w:val="Compact"/>
              <w:jc w:val="left"/>
            </w:pPr>
            <w:r>
              <w:t xml:space="preserve">Marseille City Center</w:t>
            </w:r>
          </w:p>
        </w:tc>
        <w:tc>
          <w:tcPr/>
          <w:p>
            <w:pPr>
              <w:pStyle w:val="Compact"/>
              <w:jc w:val="left"/>
            </w:pPr>
            <w:r>
              <w:t xml:space="preserve">48%</w:t>
            </w:r>
          </w:p>
        </w:tc>
        <w:tc>
          <w:tcPr/>
          <w:p>
            <w:pPr>
              <w:pStyle w:val="Compact"/>
              <w:jc w:val="left"/>
            </w:pPr>
            <w:r>
              <w:t xml:space="preserve">+31%</w:t>
            </w:r>
          </w:p>
        </w:tc>
      </w:tr>
      <w:tr>
        <w:tc>
          <w:tcPr/>
          <w:p>
            <w:pPr>
              <w:pStyle w:val="Compact"/>
              <w:jc w:val="left"/>
            </w:pPr>
            <w:r>
              <w:t xml:space="preserve">Villeurbanne (Marseille Suburb)</w:t>
            </w:r>
          </w:p>
        </w:tc>
        <w:tc>
          <w:tcPr/>
          <w:p>
            <w:pPr>
              <w:pStyle w:val="Compact"/>
              <w:jc w:val="left"/>
            </w:pPr>
            <w:r>
              <w:t xml:space="preserve">29%</w:t>
            </w:r>
          </w:p>
        </w:tc>
        <w:tc>
          <w:tcPr/>
          <w:p>
            <w:pPr>
              <w:pStyle w:val="Compact"/>
              <w:jc w:val="left"/>
            </w:pPr>
            <w:r>
              <w:t xml:space="preserve">+24%</w:t>
            </w:r>
          </w:p>
        </w:tc>
      </w:tr>
      <w:tr>
        <w:tc>
          <w:tcPr/>
          <w:p>
            <w:pPr>
              <w:pStyle w:val="Compact"/>
              <w:jc w:val="left"/>
            </w:pPr>
            <w:r>
              <w:t xml:space="preserve">Total Marseille Metropolitan Area</w:t>
            </w:r>
          </w:p>
        </w:tc>
        <w:tc>
          <w:tcPr/>
          <w:p>
            <w:pPr>
              <w:pStyle w:val="Compact"/>
            </w:pPr>
          </w:p>
        </w:tc>
        <w:tc>
          <w:tcPr/>
          <w:p>
            <w:pPr>
              <w:pStyle w:val="Compact"/>
            </w:pPr>
          </w:p>
        </w:tc>
      </w:tr>
    </w:tbl>
    <w:p>
      <w:pPr>
        <w:pStyle w:val="BodyText"/>
      </w:pPr>
      <w:r>
        <w:t xml:space="preserve">"The Professor platform has fundamentally changed how educators in Marseille approach personalized learning. This isn't just another sales achievement – it's a new educational standard." - Marie Dubois, Head of Academic Partnerships, Aix-Marseille University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Product Line - France Marseille</dc:title>
  <dc:creator/>
  <dc:language>en</dc:language>
  <cp:keywords/>
  <dcterms:created xsi:type="dcterms:W3CDTF">2026-07-23T13:49:02Z</dcterms:created>
  <dcterms:modified xsi:type="dcterms:W3CDTF">2026-07-23T13:49:02Z</dcterms:modified>
</cp:coreProperties>
</file>

<file path=docProps/custom.xml><?xml version="1.0" encoding="utf-8"?>
<Properties xmlns="http://schemas.openxmlformats.org/officeDocument/2006/custom-properties" xmlns:vt="http://schemas.openxmlformats.org/officeDocument/2006/docPropsVTypes"/>
</file>